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uto"/>
        <w:rPr>
          <w:color w:val="auto"/>
          <w:highlight w:val="none"/>
        </w:rPr>
      </w:pPr>
    </w:p>
    <w:p>
      <w:pPr>
        <w:spacing w:line="240" w:lineRule="auto"/>
        <w:rPr>
          <w:color w:val="auto"/>
          <w:highlight w:val="none"/>
        </w:rPr>
      </w:pPr>
    </w:p>
    <w:p>
      <w:pPr>
        <w:spacing w:line="240" w:lineRule="auto"/>
        <w:rPr>
          <w:color w:val="auto"/>
          <w:highlight w:val="none"/>
        </w:rPr>
      </w:pPr>
    </w:p>
    <w:p>
      <w:pPr>
        <w:spacing w:line="240" w:lineRule="auto"/>
        <w:rPr>
          <w:color w:val="auto"/>
          <w:highlight w:val="none"/>
        </w:rPr>
      </w:pPr>
    </w:p>
    <w:p>
      <w:pPr>
        <w:spacing w:line="240" w:lineRule="auto"/>
        <w:rPr>
          <w:color w:val="auto"/>
          <w:highlight w:val="none"/>
        </w:rPr>
      </w:pPr>
    </w:p>
    <w:p>
      <w:pPr>
        <w:spacing w:line="240" w:lineRule="auto"/>
        <w:ind w:firstLine="562" w:firstLineChars="200"/>
        <w:jc w:val="center"/>
        <w:rPr>
          <w:rFonts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招标编号：SCMX-SC-2024-1071</w:t>
      </w:r>
    </w:p>
    <w:p>
      <w:pPr>
        <w:spacing w:line="240" w:lineRule="auto"/>
        <w:rPr>
          <w:color w:val="auto"/>
          <w:highlight w:val="none"/>
        </w:rPr>
      </w:pPr>
    </w:p>
    <w:p>
      <w:pPr>
        <w:spacing w:line="240" w:lineRule="auto"/>
        <w:rPr>
          <w:color w:val="auto"/>
          <w:highlight w:val="none"/>
        </w:rPr>
      </w:pPr>
    </w:p>
    <w:p>
      <w:pPr>
        <w:spacing w:line="240" w:lineRule="auto"/>
        <w:jc w:val="center"/>
        <w:rPr>
          <w:rFonts w:ascii="宋体" w:hAnsi="宋体" w:eastAsia="宋体" w:cs="宋体"/>
          <w:color w:val="auto"/>
          <w:spacing w:val="16"/>
          <w:sz w:val="47"/>
          <w:szCs w:val="47"/>
          <w:highlight w:val="none"/>
          <w14:textOutline w14:w="8712" w14:cap="sq" w14:cmpd="sng" w14:algn="ctr">
            <w14:solidFill>
              <w14:srgbClr w14:val="000000"/>
            </w14:solidFill>
            <w14:prstDash w14:val="solid"/>
            <w14:bevel/>
          </w14:textOutline>
        </w:rPr>
      </w:pPr>
    </w:p>
    <w:p>
      <w:pPr>
        <w:spacing w:line="240" w:lineRule="auto"/>
        <w:ind w:firstLine="883" w:firstLineChars="200"/>
        <w:jc w:val="center"/>
        <w:rPr>
          <w:rFonts w:hint="eastAsia" w:ascii="宋体" w:hAnsi="宋体" w:eastAsia="宋体" w:cs="宋体"/>
          <w:b/>
          <w:bCs/>
          <w:color w:val="auto"/>
          <w:sz w:val="44"/>
          <w:szCs w:val="44"/>
          <w:highlight w:val="none"/>
          <w:lang w:eastAsia="zh-CN"/>
        </w:rPr>
      </w:pPr>
      <w:r>
        <w:rPr>
          <w:rFonts w:hint="eastAsia" w:ascii="宋体" w:hAnsi="宋体" w:eastAsia="宋体" w:cs="宋体"/>
          <w:b/>
          <w:bCs/>
          <w:color w:val="auto"/>
          <w:sz w:val="44"/>
          <w:szCs w:val="44"/>
          <w:highlight w:val="none"/>
          <w:lang w:eastAsia="zh-CN"/>
        </w:rPr>
        <w:t>成都市技师学院（成都工贸职业技术学院）2024级学生军训服采购项目</w:t>
      </w:r>
    </w:p>
    <w:p>
      <w:pPr>
        <w:spacing w:line="240" w:lineRule="auto"/>
        <w:rPr>
          <w:color w:val="auto"/>
          <w:highlight w:val="none"/>
        </w:rPr>
      </w:pPr>
    </w:p>
    <w:p>
      <w:pPr>
        <w:spacing w:line="240" w:lineRule="auto"/>
        <w:rPr>
          <w:color w:val="auto"/>
          <w:highlight w:val="none"/>
        </w:rPr>
      </w:pPr>
    </w:p>
    <w:p>
      <w:pPr>
        <w:spacing w:line="240" w:lineRule="auto"/>
        <w:rPr>
          <w:color w:val="auto"/>
          <w:highlight w:val="none"/>
        </w:rPr>
      </w:pPr>
    </w:p>
    <w:p>
      <w:pPr>
        <w:spacing w:line="240" w:lineRule="auto"/>
        <w:rPr>
          <w:color w:val="auto"/>
          <w:highlight w:val="none"/>
        </w:rPr>
      </w:pPr>
    </w:p>
    <w:p>
      <w:pPr>
        <w:spacing w:line="240" w:lineRule="auto"/>
        <w:rPr>
          <w:color w:val="auto"/>
          <w:highlight w:val="none"/>
        </w:rPr>
      </w:pPr>
    </w:p>
    <w:p>
      <w:pPr>
        <w:spacing w:line="240" w:lineRule="auto"/>
        <w:rPr>
          <w:color w:val="auto"/>
          <w:highlight w:val="none"/>
        </w:rPr>
      </w:pPr>
    </w:p>
    <w:p>
      <w:pPr>
        <w:spacing w:line="240" w:lineRule="auto"/>
        <w:jc w:val="center"/>
        <w:rPr>
          <w:rFonts w:hint="eastAsia" w:eastAsia="宋体"/>
          <w:b/>
          <w:bCs/>
          <w:color w:val="auto"/>
          <w:sz w:val="72"/>
          <w:szCs w:val="72"/>
          <w:highlight w:val="none"/>
          <w:lang w:val="en-US" w:eastAsia="zh-CN"/>
        </w:rPr>
      </w:pPr>
      <w:r>
        <w:rPr>
          <w:rFonts w:hint="eastAsia" w:eastAsia="宋体"/>
          <w:b/>
          <w:bCs/>
          <w:color w:val="auto"/>
          <w:sz w:val="72"/>
          <w:szCs w:val="72"/>
          <w:highlight w:val="none"/>
          <w:lang w:val="en-US" w:eastAsia="zh-CN"/>
        </w:rPr>
        <w:t>招标文件</w:t>
      </w:r>
    </w:p>
    <w:p>
      <w:pPr>
        <w:spacing w:line="240" w:lineRule="auto"/>
        <w:rPr>
          <w:color w:val="auto"/>
          <w:highlight w:val="none"/>
        </w:rPr>
      </w:pPr>
    </w:p>
    <w:p>
      <w:pPr>
        <w:spacing w:line="240" w:lineRule="auto"/>
        <w:rPr>
          <w:color w:val="auto"/>
          <w:highlight w:val="none"/>
        </w:rPr>
      </w:pPr>
    </w:p>
    <w:p>
      <w:pPr>
        <w:spacing w:line="240" w:lineRule="auto"/>
        <w:rPr>
          <w:color w:val="auto"/>
          <w:highlight w:val="none"/>
        </w:rPr>
      </w:pPr>
    </w:p>
    <w:p>
      <w:pPr>
        <w:spacing w:line="240" w:lineRule="auto"/>
        <w:rPr>
          <w:color w:val="auto"/>
          <w:highlight w:val="none"/>
        </w:rPr>
      </w:pPr>
    </w:p>
    <w:p>
      <w:pPr>
        <w:spacing w:line="240" w:lineRule="auto"/>
        <w:rPr>
          <w:color w:val="auto"/>
          <w:highlight w:val="none"/>
        </w:rPr>
      </w:pPr>
    </w:p>
    <w:p>
      <w:pPr>
        <w:spacing w:line="240" w:lineRule="auto"/>
        <w:rPr>
          <w:color w:val="auto"/>
          <w:highlight w:val="none"/>
        </w:rPr>
      </w:pPr>
    </w:p>
    <w:p>
      <w:pPr>
        <w:spacing w:line="240" w:lineRule="auto"/>
        <w:rPr>
          <w:color w:val="auto"/>
          <w:highlight w:val="none"/>
        </w:rPr>
      </w:pPr>
    </w:p>
    <w:p>
      <w:pPr>
        <w:spacing w:line="240" w:lineRule="auto"/>
        <w:rPr>
          <w:color w:val="auto"/>
          <w:highlight w:val="none"/>
        </w:rPr>
      </w:pPr>
    </w:p>
    <w:p>
      <w:pPr>
        <w:spacing w:line="240" w:lineRule="auto"/>
        <w:rPr>
          <w:color w:val="auto"/>
          <w:highlight w:val="none"/>
        </w:rPr>
      </w:pPr>
    </w:p>
    <w:p>
      <w:pPr>
        <w:spacing w:line="240" w:lineRule="auto"/>
        <w:rPr>
          <w:color w:val="auto"/>
          <w:highlight w:val="none"/>
        </w:rPr>
      </w:pPr>
    </w:p>
    <w:p>
      <w:pPr>
        <w:spacing w:line="240" w:lineRule="auto"/>
        <w:rPr>
          <w:color w:val="auto"/>
          <w:highlight w:val="none"/>
        </w:rPr>
      </w:pPr>
    </w:p>
    <w:p>
      <w:pPr>
        <w:spacing w:line="240" w:lineRule="auto"/>
        <w:rPr>
          <w:color w:val="auto"/>
          <w:highlight w:val="none"/>
        </w:rPr>
      </w:pPr>
    </w:p>
    <w:p>
      <w:pPr>
        <w:spacing w:line="240" w:lineRule="auto"/>
        <w:ind w:firstLine="562" w:firstLineChars="200"/>
        <w:jc w:val="center"/>
        <w:rPr>
          <w:rFonts w:hint="eastAsia" w:ascii="宋体" w:hAnsi="宋体" w:eastAsia="宋体" w:cs="宋体"/>
          <w:b/>
          <w:bCs/>
          <w:color w:val="auto"/>
          <w:sz w:val="28"/>
          <w:szCs w:val="28"/>
          <w:highlight w:val="none"/>
          <w:lang w:eastAsia="zh-CN"/>
        </w:rPr>
      </w:pPr>
      <w:r>
        <w:rPr>
          <w:rFonts w:hint="eastAsia" w:ascii="宋体" w:hAnsi="宋体" w:eastAsia="宋体" w:cs="宋体"/>
          <w:b/>
          <w:bCs/>
          <w:color w:val="auto"/>
          <w:sz w:val="28"/>
          <w:szCs w:val="28"/>
          <w:highlight w:val="none"/>
          <w:lang w:eastAsia="zh-CN"/>
        </w:rPr>
        <w:t>四川</w:t>
      </w:r>
      <w:r>
        <w:rPr>
          <w:rFonts w:hint="eastAsia" w:ascii="宋体" w:hAnsi="宋体" w:eastAsia="宋体" w:cs="宋体"/>
          <w:b/>
          <w:bCs/>
          <w:color w:val="auto"/>
          <w:sz w:val="28"/>
          <w:szCs w:val="28"/>
          <w:highlight w:val="none"/>
        </w:rPr>
        <w:t xml:space="preserve"> · </w:t>
      </w:r>
      <w:r>
        <w:rPr>
          <w:rFonts w:hint="eastAsia" w:ascii="宋体" w:hAnsi="宋体" w:eastAsia="宋体" w:cs="宋体"/>
          <w:b/>
          <w:bCs/>
          <w:color w:val="auto"/>
          <w:sz w:val="28"/>
          <w:szCs w:val="28"/>
          <w:highlight w:val="none"/>
          <w:lang w:eastAsia="zh-CN"/>
        </w:rPr>
        <w:t>成都</w:t>
      </w:r>
    </w:p>
    <w:p>
      <w:pPr>
        <w:spacing w:line="240" w:lineRule="auto"/>
        <w:ind w:firstLine="3168" w:firstLineChars="1127"/>
        <w:jc w:val="both"/>
        <w:rPr>
          <w:rFonts w:hint="eastAsia" w:ascii="宋体" w:hAnsi="宋体" w:eastAsia="宋体" w:cs="宋体"/>
          <w:b/>
          <w:bCs/>
          <w:color w:val="auto"/>
          <w:sz w:val="28"/>
          <w:szCs w:val="28"/>
          <w:highlight w:val="none"/>
          <w:lang w:eastAsia="zh-CN"/>
        </w:rPr>
      </w:pPr>
      <w:bookmarkStart w:id="0" w:name="_Toc21667"/>
      <w:r>
        <w:rPr>
          <w:rFonts w:hint="eastAsia" w:ascii="宋体" w:hAnsi="宋体" w:eastAsia="宋体" w:cs="宋体"/>
          <w:b/>
          <w:bCs/>
          <w:color w:val="auto"/>
          <w:sz w:val="28"/>
          <w:szCs w:val="28"/>
          <w:highlight w:val="none"/>
        </w:rPr>
        <w:t>招标人：</w:t>
      </w:r>
      <w:bookmarkEnd w:id="0"/>
      <w:r>
        <w:rPr>
          <w:rFonts w:hint="eastAsia" w:ascii="宋体" w:hAnsi="宋体" w:eastAsia="宋体" w:cs="宋体"/>
          <w:b/>
          <w:bCs/>
          <w:color w:val="auto"/>
          <w:sz w:val="28"/>
          <w:szCs w:val="28"/>
          <w:highlight w:val="none"/>
          <w:lang w:eastAsia="zh-CN"/>
        </w:rPr>
        <w:t>成都市技师学院</w:t>
      </w:r>
      <w:r>
        <w:rPr>
          <w:rFonts w:hint="eastAsia" w:ascii="仿宋_GB2312" w:hAnsi="仿宋_GB2312" w:eastAsia="仿宋_GB2312" w:cs="仿宋_GB2312"/>
          <w:bCs/>
          <w:szCs w:val="32"/>
          <w:u w:val="single"/>
        </w:rPr>
        <w:t>（成都工贸职业技术学院</w:t>
      </w:r>
      <w:r>
        <w:rPr>
          <w:rFonts w:hint="eastAsia" w:ascii="仿宋_GB2312" w:hAnsi="仿宋_GB2312" w:eastAsia="仿宋_GB2312" w:cs="仿宋_GB2312"/>
          <w:bCs/>
          <w:szCs w:val="32"/>
          <w:u w:val="single"/>
          <w:lang w:eastAsia="zh-CN"/>
        </w:rPr>
        <w:t>）</w:t>
      </w:r>
    </w:p>
    <w:p>
      <w:pPr>
        <w:spacing w:line="240" w:lineRule="auto"/>
        <w:jc w:val="center"/>
        <w:rPr>
          <w:rFonts w:hint="default" w:ascii="宋体" w:hAnsi="宋体" w:eastAsia="宋体" w:cs="宋体"/>
          <w:b/>
          <w:bCs/>
          <w:color w:val="auto"/>
          <w:sz w:val="28"/>
          <w:szCs w:val="28"/>
          <w:highlight w:val="none"/>
          <w:lang w:val="en-US" w:eastAsia="zh-CN"/>
        </w:rPr>
      </w:pPr>
      <w:bookmarkStart w:id="1" w:name="_Toc8024"/>
      <w:r>
        <w:rPr>
          <w:rFonts w:hint="eastAsia" w:ascii="宋体" w:hAnsi="宋体" w:eastAsia="宋体" w:cs="宋体"/>
          <w:b/>
          <w:bCs/>
          <w:color w:val="auto"/>
          <w:sz w:val="28"/>
          <w:szCs w:val="28"/>
          <w:highlight w:val="none"/>
          <w:lang w:val="en-US" w:eastAsia="zh-CN"/>
        </w:rPr>
        <w:t xml:space="preserve">    </w:t>
      </w:r>
      <w:r>
        <w:rPr>
          <w:rFonts w:hint="eastAsia" w:ascii="宋体" w:hAnsi="宋体" w:eastAsia="宋体" w:cs="宋体"/>
          <w:b/>
          <w:bCs/>
          <w:color w:val="auto"/>
          <w:sz w:val="28"/>
          <w:szCs w:val="28"/>
          <w:highlight w:val="none"/>
        </w:rPr>
        <w:t>招标代理机构：</w:t>
      </w:r>
      <w:bookmarkEnd w:id="1"/>
      <w:r>
        <w:rPr>
          <w:rFonts w:hint="eastAsia" w:ascii="宋体" w:hAnsi="宋体" w:eastAsia="宋体" w:cs="宋体"/>
          <w:b/>
          <w:bCs/>
          <w:color w:val="auto"/>
          <w:sz w:val="28"/>
          <w:szCs w:val="28"/>
          <w:highlight w:val="none"/>
          <w:lang w:val="en-US" w:eastAsia="zh-CN"/>
        </w:rPr>
        <w:t>四川铭信工程招标咨询有限公司</w:t>
      </w:r>
    </w:p>
    <w:p>
      <w:pPr>
        <w:spacing w:line="240" w:lineRule="auto"/>
        <w:ind w:firstLine="562" w:firstLineChars="200"/>
        <w:jc w:val="center"/>
        <w:rPr>
          <w:rFonts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共同编制</w:t>
      </w:r>
    </w:p>
    <w:p>
      <w:pPr>
        <w:spacing w:line="240" w:lineRule="auto"/>
        <w:ind w:firstLine="562" w:firstLineChars="200"/>
        <w:jc w:val="center"/>
        <w:rPr>
          <w:color w:val="auto"/>
          <w:highlight w:val="none"/>
        </w:rPr>
      </w:pPr>
      <w:r>
        <w:rPr>
          <w:rFonts w:hint="eastAsia" w:ascii="宋体" w:hAnsi="宋体" w:eastAsia="宋体" w:cs="宋体"/>
          <w:b/>
          <w:bCs/>
          <w:color w:val="auto"/>
          <w:sz w:val="28"/>
          <w:szCs w:val="28"/>
          <w:highlight w:val="none"/>
        </w:rPr>
        <w:t>202</w:t>
      </w:r>
      <w:r>
        <w:rPr>
          <w:rFonts w:hint="eastAsia" w:ascii="宋体" w:hAnsi="宋体" w:eastAsia="宋体" w:cs="宋体"/>
          <w:b/>
          <w:bCs/>
          <w:color w:val="auto"/>
          <w:sz w:val="28"/>
          <w:szCs w:val="28"/>
          <w:highlight w:val="none"/>
          <w:lang w:val="en-US" w:eastAsia="zh-CN"/>
        </w:rPr>
        <w:t>4</w:t>
      </w:r>
      <w:r>
        <w:rPr>
          <w:rFonts w:hint="eastAsia" w:ascii="宋体" w:hAnsi="宋体" w:eastAsia="宋体" w:cs="宋体"/>
          <w:b/>
          <w:bCs/>
          <w:color w:val="auto"/>
          <w:sz w:val="28"/>
          <w:szCs w:val="28"/>
          <w:highlight w:val="none"/>
        </w:rPr>
        <w:t>年</w:t>
      </w:r>
      <w:r>
        <w:rPr>
          <w:rFonts w:hint="eastAsia" w:ascii="宋体" w:hAnsi="宋体" w:eastAsia="宋体" w:cs="宋体"/>
          <w:b/>
          <w:bCs/>
          <w:color w:val="auto"/>
          <w:sz w:val="28"/>
          <w:szCs w:val="28"/>
          <w:highlight w:val="none"/>
          <w:lang w:val="en-US" w:eastAsia="zh-CN"/>
        </w:rPr>
        <w:t>6</w:t>
      </w:r>
      <w:r>
        <w:rPr>
          <w:rFonts w:hint="eastAsia" w:ascii="宋体" w:hAnsi="宋体" w:eastAsia="宋体" w:cs="宋体"/>
          <w:b/>
          <w:bCs/>
          <w:color w:val="auto"/>
          <w:sz w:val="28"/>
          <w:szCs w:val="28"/>
          <w:highlight w:val="none"/>
        </w:rPr>
        <w:t>月</w:t>
      </w:r>
    </w:p>
    <w:p>
      <w:pPr>
        <w:spacing w:line="240" w:lineRule="auto"/>
        <w:rPr>
          <w:color w:val="auto"/>
          <w:highlight w:val="none"/>
        </w:rPr>
      </w:pPr>
    </w:p>
    <w:sdt>
      <w:sdtPr>
        <w:rPr>
          <w:rFonts w:ascii="宋体" w:hAnsi="宋体" w:eastAsia="宋体"/>
          <w:color w:val="auto"/>
          <w:sz w:val="36"/>
          <w:szCs w:val="36"/>
          <w:highlight w:val="none"/>
        </w:rPr>
        <w:id w:val="147468591"/>
        <w15:color w:val="DBDBDB"/>
        <w:docPartObj>
          <w:docPartGallery w:val="Table of Contents"/>
          <w:docPartUnique/>
        </w:docPartObj>
      </w:sdtPr>
      <w:sdtEndPr>
        <w:rPr>
          <w:rFonts w:ascii="Arial" w:hAnsi="Arial" w:eastAsia="Arial"/>
          <w:color w:val="auto"/>
          <w:sz w:val="21"/>
          <w:szCs w:val="21"/>
          <w:highlight w:val="none"/>
        </w:rPr>
      </w:sdtEndPr>
      <w:sdtContent>
        <w:p>
          <w:pPr>
            <w:spacing w:line="240" w:lineRule="auto"/>
            <w:jc w:val="center"/>
            <w:rPr>
              <w:rFonts w:ascii="宋体" w:hAnsi="宋体" w:eastAsia="宋体"/>
              <w:color w:val="auto"/>
              <w:sz w:val="36"/>
              <w:szCs w:val="36"/>
              <w:highlight w:val="none"/>
            </w:rPr>
          </w:pPr>
        </w:p>
        <w:p>
          <w:pPr>
            <w:spacing w:line="240" w:lineRule="auto"/>
            <w:rPr>
              <w:rFonts w:ascii="宋体" w:hAnsi="宋体" w:eastAsia="宋体"/>
              <w:color w:val="auto"/>
              <w:sz w:val="36"/>
              <w:szCs w:val="36"/>
              <w:highlight w:val="none"/>
            </w:rPr>
          </w:pPr>
          <w:r>
            <w:rPr>
              <w:rFonts w:ascii="宋体" w:hAnsi="宋体" w:eastAsia="宋体"/>
              <w:color w:val="auto"/>
              <w:sz w:val="36"/>
              <w:szCs w:val="36"/>
              <w:highlight w:val="none"/>
            </w:rPr>
            <w:br w:type="page"/>
          </w:r>
        </w:p>
        <w:p>
          <w:pPr>
            <w:spacing w:line="240" w:lineRule="auto"/>
            <w:jc w:val="center"/>
            <w:rPr>
              <w:color w:val="auto"/>
              <w:sz w:val="36"/>
              <w:szCs w:val="36"/>
              <w:highlight w:val="none"/>
            </w:rPr>
          </w:pPr>
          <w:r>
            <w:rPr>
              <w:rFonts w:ascii="宋体" w:hAnsi="宋体" w:eastAsia="宋体"/>
              <w:color w:val="auto"/>
              <w:sz w:val="36"/>
              <w:szCs w:val="36"/>
              <w:highlight w:val="none"/>
            </w:rPr>
            <w:t>目</w:t>
          </w:r>
          <w:r>
            <w:rPr>
              <w:rFonts w:hint="eastAsia" w:ascii="宋体" w:hAnsi="宋体" w:eastAsia="宋体"/>
              <w:color w:val="auto"/>
              <w:sz w:val="36"/>
              <w:szCs w:val="36"/>
              <w:highlight w:val="none"/>
            </w:rPr>
            <w:t xml:space="preserve">  </w:t>
          </w:r>
          <w:r>
            <w:rPr>
              <w:rFonts w:ascii="宋体" w:hAnsi="宋体" w:eastAsia="宋体"/>
              <w:color w:val="auto"/>
              <w:sz w:val="36"/>
              <w:szCs w:val="36"/>
              <w:highlight w:val="none"/>
            </w:rPr>
            <w:t>录</w:t>
          </w:r>
        </w:p>
        <w:p>
          <w:pPr>
            <w:pStyle w:val="13"/>
            <w:tabs>
              <w:tab w:val="right" w:leader="dot" w:pos="9071"/>
            </w:tabs>
          </w:pPr>
          <w:r>
            <w:rPr>
              <w:color w:val="auto"/>
              <w:highlight w:val="none"/>
            </w:rPr>
            <w:fldChar w:fldCharType="begin"/>
          </w:r>
          <w:r>
            <w:rPr>
              <w:color w:val="auto"/>
              <w:highlight w:val="none"/>
            </w:rPr>
            <w:instrText xml:space="preserve">TOC \o "1-3" \h \u </w:instrText>
          </w:r>
          <w:r>
            <w:rPr>
              <w:color w:val="auto"/>
              <w:highlight w:val="none"/>
            </w:rPr>
            <w:fldChar w:fldCharType="separate"/>
          </w:r>
          <w:r>
            <w:rPr>
              <w:color w:val="auto"/>
              <w:highlight w:val="none"/>
            </w:rPr>
            <w:fldChar w:fldCharType="begin"/>
          </w:r>
          <w:r>
            <w:rPr>
              <w:highlight w:val="none"/>
            </w:rPr>
            <w:instrText xml:space="preserve"> HYPERLINK \l _Toc3463 </w:instrText>
          </w:r>
          <w:r>
            <w:rPr>
              <w:highlight w:val="none"/>
            </w:rPr>
            <w:fldChar w:fldCharType="separate"/>
          </w:r>
          <w:r>
            <w:rPr>
              <w:rFonts w:hint="eastAsia" w:ascii="宋体" w:hAnsi="宋体" w:eastAsia="宋体" w:cs="宋体"/>
              <w:spacing w:val="11"/>
              <w:szCs w:val="36"/>
              <w:highlight w:val="none"/>
              <w14:textOutline w14:w="6540" w14:cap="sq" w14:cmpd="sng" w14:algn="ctr">
                <w14:solidFill>
                  <w14:srgbClr w14:val="000000"/>
                </w14:solidFill>
                <w14:prstDash w14:val="solid"/>
                <w14:bevel/>
              </w14:textOutline>
            </w:rPr>
            <w:t>第</w:t>
          </w:r>
          <w:r>
            <w:rPr>
              <w:rFonts w:hint="eastAsia" w:ascii="宋体" w:hAnsi="宋体" w:eastAsia="宋体" w:cs="宋体"/>
              <w:spacing w:val="8"/>
              <w:szCs w:val="36"/>
              <w:highlight w:val="none"/>
              <w14:textOutline w14:w="6540" w14:cap="sq" w14:cmpd="sng" w14:algn="ctr">
                <w14:solidFill>
                  <w14:srgbClr w14:val="000000"/>
                </w14:solidFill>
                <w14:prstDash w14:val="solid"/>
                <w14:bevel/>
              </w14:textOutline>
            </w:rPr>
            <w:t>一章</w:t>
          </w:r>
          <w:r>
            <w:rPr>
              <w:rFonts w:hint="eastAsia" w:ascii="宋体" w:hAnsi="宋体" w:eastAsia="宋体" w:cs="宋体"/>
              <w:spacing w:val="8"/>
              <w:szCs w:val="36"/>
              <w:highlight w:val="none"/>
            </w:rPr>
            <w:t xml:space="preserve">  </w:t>
          </w:r>
          <w:r>
            <w:rPr>
              <w:rFonts w:hint="eastAsia" w:ascii="宋体" w:hAnsi="宋体" w:eastAsia="宋体" w:cs="宋体"/>
              <w:spacing w:val="8"/>
              <w:szCs w:val="36"/>
              <w:highlight w:val="none"/>
              <w14:textOutline w14:w="6540" w14:cap="sq" w14:cmpd="sng" w14:algn="ctr">
                <w14:solidFill>
                  <w14:srgbClr w14:val="000000"/>
                </w14:solidFill>
                <w14:prstDash w14:val="solid"/>
                <w14:bevel/>
              </w14:textOutline>
            </w:rPr>
            <w:t>投标邀请</w:t>
          </w:r>
          <w:r>
            <w:tab/>
          </w:r>
          <w:r>
            <w:fldChar w:fldCharType="begin"/>
          </w:r>
          <w:r>
            <w:instrText xml:space="preserve"> PAGEREF _Toc3463 \h </w:instrText>
          </w:r>
          <w:r>
            <w:fldChar w:fldCharType="separate"/>
          </w:r>
          <w:r>
            <w:t>3</w:t>
          </w:r>
          <w:r>
            <w:fldChar w:fldCharType="end"/>
          </w:r>
          <w:r>
            <w:rPr>
              <w:color w:val="auto"/>
              <w:highlight w:val="none"/>
            </w:rPr>
            <w:fldChar w:fldCharType="end"/>
          </w:r>
        </w:p>
        <w:p>
          <w:pPr>
            <w:pStyle w:val="13"/>
            <w:tabs>
              <w:tab w:val="right" w:leader="dot" w:pos="9071"/>
            </w:tabs>
          </w:pPr>
          <w:r>
            <w:rPr>
              <w:color w:val="auto"/>
              <w:highlight w:val="none"/>
            </w:rPr>
            <w:fldChar w:fldCharType="begin"/>
          </w:r>
          <w:r>
            <w:rPr>
              <w:highlight w:val="none"/>
            </w:rPr>
            <w:instrText xml:space="preserve"> HYPERLINK \l _Toc2059 </w:instrText>
          </w:r>
          <w:r>
            <w:rPr>
              <w:highlight w:val="none"/>
            </w:rPr>
            <w:fldChar w:fldCharType="separate"/>
          </w:r>
          <w:r>
            <w:rPr>
              <w:rFonts w:hint="eastAsia" w:ascii="宋体" w:hAnsi="宋体" w:eastAsia="宋体" w:cs="宋体"/>
              <w:spacing w:val="11"/>
              <w:szCs w:val="36"/>
              <w:highlight w:val="none"/>
              <w14:textOutline w14:w="6540" w14:cap="sq" w14:cmpd="sng" w14:algn="ctr">
                <w14:solidFill>
                  <w14:srgbClr w14:val="000000"/>
                </w14:solidFill>
                <w14:prstDash w14:val="solid"/>
                <w14:bevel/>
              </w14:textOutline>
            </w:rPr>
            <w:t>第二章  投标人须知</w:t>
          </w:r>
          <w:r>
            <w:tab/>
          </w:r>
          <w:r>
            <w:fldChar w:fldCharType="begin"/>
          </w:r>
          <w:r>
            <w:instrText xml:space="preserve"> PAGEREF _Toc2059 \h </w:instrText>
          </w:r>
          <w:r>
            <w:fldChar w:fldCharType="separate"/>
          </w:r>
          <w:r>
            <w:t>5</w:t>
          </w:r>
          <w:r>
            <w:fldChar w:fldCharType="end"/>
          </w:r>
          <w:r>
            <w:rPr>
              <w:color w:val="auto"/>
              <w:highlight w:val="none"/>
            </w:rPr>
            <w:fldChar w:fldCharType="end"/>
          </w:r>
        </w:p>
        <w:p>
          <w:pPr>
            <w:pStyle w:val="14"/>
            <w:tabs>
              <w:tab w:val="right" w:leader="dot" w:pos="9071"/>
            </w:tabs>
          </w:pPr>
          <w:r>
            <w:rPr>
              <w:color w:val="auto"/>
              <w:highlight w:val="none"/>
            </w:rPr>
            <w:fldChar w:fldCharType="begin"/>
          </w:r>
          <w:r>
            <w:rPr>
              <w:highlight w:val="none"/>
            </w:rPr>
            <w:instrText xml:space="preserve"> HYPERLINK \l _Toc30521 </w:instrText>
          </w:r>
          <w:r>
            <w:rPr>
              <w:highlight w:val="none"/>
            </w:rPr>
            <w:fldChar w:fldCharType="separate"/>
          </w:r>
          <w:r>
            <w:rPr>
              <w:rFonts w:hint="eastAsia" w:ascii="宋体" w:hAnsi="宋体" w:eastAsia="宋体" w:cs="宋体"/>
              <w:bCs/>
              <w:szCs w:val="31"/>
              <w:highlight w:val="none"/>
            </w:rPr>
            <w:t>一、投标人须知附表</w:t>
          </w:r>
          <w:r>
            <w:tab/>
          </w:r>
          <w:r>
            <w:fldChar w:fldCharType="begin"/>
          </w:r>
          <w:r>
            <w:instrText xml:space="preserve"> PAGEREF _Toc30521 \h </w:instrText>
          </w:r>
          <w:r>
            <w:fldChar w:fldCharType="separate"/>
          </w:r>
          <w:r>
            <w:t>5</w:t>
          </w:r>
          <w:r>
            <w:fldChar w:fldCharType="end"/>
          </w:r>
          <w:r>
            <w:rPr>
              <w:color w:val="auto"/>
              <w:highlight w:val="none"/>
            </w:rPr>
            <w:fldChar w:fldCharType="end"/>
          </w:r>
        </w:p>
        <w:p>
          <w:pPr>
            <w:pStyle w:val="14"/>
            <w:tabs>
              <w:tab w:val="right" w:leader="dot" w:pos="9071"/>
            </w:tabs>
          </w:pPr>
          <w:r>
            <w:rPr>
              <w:color w:val="auto"/>
              <w:highlight w:val="none"/>
            </w:rPr>
            <w:fldChar w:fldCharType="begin"/>
          </w:r>
          <w:r>
            <w:rPr>
              <w:highlight w:val="none"/>
            </w:rPr>
            <w:instrText xml:space="preserve"> HYPERLINK \l _Toc12017 </w:instrText>
          </w:r>
          <w:r>
            <w:rPr>
              <w:highlight w:val="none"/>
            </w:rPr>
            <w:fldChar w:fldCharType="separate"/>
          </w:r>
          <w:r>
            <w:rPr>
              <w:rFonts w:hint="eastAsia" w:ascii="宋体" w:hAnsi="宋体" w:eastAsia="宋体" w:cs="宋体"/>
              <w:bCs/>
              <w:szCs w:val="31"/>
              <w:highlight w:val="none"/>
            </w:rPr>
            <w:t>二 、 总  则</w:t>
          </w:r>
          <w:r>
            <w:tab/>
          </w:r>
          <w:r>
            <w:fldChar w:fldCharType="begin"/>
          </w:r>
          <w:r>
            <w:instrText xml:space="preserve"> PAGEREF _Toc12017 \h </w:instrText>
          </w:r>
          <w:r>
            <w:fldChar w:fldCharType="separate"/>
          </w:r>
          <w:r>
            <w:t>8</w:t>
          </w:r>
          <w:r>
            <w:fldChar w:fldCharType="end"/>
          </w:r>
          <w:r>
            <w:rPr>
              <w:color w:val="auto"/>
              <w:highlight w:val="none"/>
            </w:rPr>
            <w:fldChar w:fldCharType="end"/>
          </w:r>
        </w:p>
        <w:p>
          <w:pPr>
            <w:pStyle w:val="14"/>
            <w:tabs>
              <w:tab w:val="right" w:leader="dot" w:pos="9071"/>
            </w:tabs>
          </w:pPr>
          <w:r>
            <w:rPr>
              <w:color w:val="auto"/>
              <w:highlight w:val="none"/>
            </w:rPr>
            <w:fldChar w:fldCharType="begin"/>
          </w:r>
          <w:r>
            <w:rPr>
              <w:highlight w:val="none"/>
            </w:rPr>
            <w:instrText xml:space="preserve"> HYPERLINK \l _Toc21423 </w:instrText>
          </w:r>
          <w:r>
            <w:rPr>
              <w:highlight w:val="none"/>
            </w:rPr>
            <w:fldChar w:fldCharType="separate"/>
          </w:r>
          <w:r>
            <w:rPr>
              <w:rFonts w:hint="eastAsia" w:ascii="宋体" w:hAnsi="宋体" w:eastAsia="宋体" w:cs="宋体"/>
              <w:bCs/>
              <w:szCs w:val="31"/>
              <w:highlight w:val="none"/>
            </w:rPr>
            <w:t>三、招标文件</w:t>
          </w:r>
          <w:r>
            <w:tab/>
          </w:r>
          <w:r>
            <w:fldChar w:fldCharType="begin"/>
          </w:r>
          <w:r>
            <w:instrText xml:space="preserve"> PAGEREF _Toc21423 \h </w:instrText>
          </w:r>
          <w:r>
            <w:fldChar w:fldCharType="separate"/>
          </w:r>
          <w:r>
            <w:t>9</w:t>
          </w:r>
          <w:r>
            <w:fldChar w:fldCharType="end"/>
          </w:r>
          <w:r>
            <w:rPr>
              <w:color w:val="auto"/>
              <w:highlight w:val="none"/>
            </w:rPr>
            <w:fldChar w:fldCharType="end"/>
          </w:r>
        </w:p>
        <w:p>
          <w:pPr>
            <w:pStyle w:val="14"/>
            <w:tabs>
              <w:tab w:val="right" w:leader="dot" w:pos="9071"/>
            </w:tabs>
          </w:pPr>
          <w:r>
            <w:rPr>
              <w:color w:val="auto"/>
              <w:highlight w:val="none"/>
            </w:rPr>
            <w:fldChar w:fldCharType="begin"/>
          </w:r>
          <w:r>
            <w:rPr>
              <w:highlight w:val="none"/>
            </w:rPr>
            <w:instrText xml:space="preserve"> HYPERLINK \l _Toc11956 </w:instrText>
          </w:r>
          <w:r>
            <w:rPr>
              <w:highlight w:val="none"/>
            </w:rPr>
            <w:fldChar w:fldCharType="separate"/>
          </w:r>
          <w:r>
            <w:rPr>
              <w:rFonts w:hint="eastAsia" w:ascii="宋体" w:hAnsi="宋体" w:eastAsia="宋体" w:cs="宋体"/>
              <w:bCs/>
              <w:szCs w:val="31"/>
              <w:highlight w:val="none"/>
            </w:rPr>
            <w:t>四、投标文件</w:t>
          </w:r>
          <w:r>
            <w:tab/>
          </w:r>
          <w:r>
            <w:fldChar w:fldCharType="begin"/>
          </w:r>
          <w:r>
            <w:instrText xml:space="preserve"> PAGEREF _Toc11956 \h </w:instrText>
          </w:r>
          <w:r>
            <w:fldChar w:fldCharType="separate"/>
          </w:r>
          <w:r>
            <w:t>10</w:t>
          </w:r>
          <w:r>
            <w:fldChar w:fldCharType="end"/>
          </w:r>
          <w:r>
            <w:rPr>
              <w:color w:val="auto"/>
              <w:highlight w:val="none"/>
            </w:rPr>
            <w:fldChar w:fldCharType="end"/>
          </w:r>
        </w:p>
        <w:p>
          <w:pPr>
            <w:pStyle w:val="14"/>
            <w:tabs>
              <w:tab w:val="right" w:leader="dot" w:pos="9071"/>
            </w:tabs>
          </w:pPr>
          <w:r>
            <w:rPr>
              <w:color w:val="auto"/>
              <w:highlight w:val="none"/>
            </w:rPr>
            <w:fldChar w:fldCharType="begin"/>
          </w:r>
          <w:r>
            <w:rPr>
              <w:highlight w:val="none"/>
            </w:rPr>
            <w:instrText xml:space="preserve"> HYPERLINK \l _Toc31519 </w:instrText>
          </w:r>
          <w:r>
            <w:rPr>
              <w:highlight w:val="none"/>
            </w:rPr>
            <w:fldChar w:fldCharType="separate"/>
          </w:r>
          <w:r>
            <w:rPr>
              <w:rFonts w:hint="eastAsia" w:ascii="宋体" w:hAnsi="宋体" w:eastAsia="宋体" w:cs="宋体"/>
              <w:bCs/>
              <w:szCs w:val="31"/>
              <w:highlight w:val="none"/>
            </w:rPr>
            <w:t>五、开标和中标</w:t>
          </w:r>
          <w:r>
            <w:tab/>
          </w:r>
          <w:r>
            <w:fldChar w:fldCharType="begin"/>
          </w:r>
          <w:r>
            <w:instrText xml:space="preserve"> PAGEREF _Toc31519 \h </w:instrText>
          </w:r>
          <w:r>
            <w:fldChar w:fldCharType="separate"/>
          </w:r>
          <w:r>
            <w:t>13</w:t>
          </w:r>
          <w:r>
            <w:fldChar w:fldCharType="end"/>
          </w:r>
          <w:r>
            <w:rPr>
              <w:color w:val="auto"/>
              <w:highlight w:val="none"/>
            </w:rPr>
            <w:fldChar w:fldCharType="end"/>
          </w:r>
        </w:p>
        <w:p>
          <w:pPr>
            <w:pStyle w:val="14"/>
            <w:tabs>
              <w:tab w:val="right" w:leader="dot" w:pos="9071"/>
            </w:tabs>
          </w:pPr>
          <w:r>
            <w:rPr>
              <w:color w:val="auto"/>
              <w:highlight w:val="none"/>
            </w:rPr>
            <w:fldChar w:fldCharType="begin"/>
          </w:r>
          <w:r>
            <w:rPr>
              <w:highlight w:val="none"/>
            </w:rPr>
            <w:instrText xml:space="preserve"> HYPERLINK \l _Toc4574 </w:instrText>
          </w:r>
          <w:r>
            <w:rPr>
              <w:highlight w:val="none"/>
            </w:rPr>
            <w:fldChar w:fldCharType="separate"/>
          </w:r>
          <w:r>
            <w:rPr>
              <w:rFonts w:hint="eastAsia" w:ascii="宋体" w:hAnsi="宋体" w:eastAsia="宋体" w:cs="宋体"/>
              <w:bCs/>
              <w:szCs w:val="31"/>
              <w:highlight w:val="none"/>
            </w:rPr>
            <w:t>六、签订及履行合同和验收</w:t>
          </w:r>
          <w:r>
            <w:tab/>
          </w:r>
          <w:r>
            <w:fldChar w:fldCharType="begin"/>
          </w:r>
          <w:r>
            <w:instrText xml:space="preserve"> PAGEREF _Toc4574 \h </w:instrText>
          </w:r>
          <w:r>
            <w:fldChar w:fldCharType="separate"/>
          </w:r>
          <w:r>
            <w:t>15</w:t>
          </w:r>
          <w:r>
            <w:fldChar w:fldCharType="end"/>
          </w:r>
          <w:r>
            <w:rPr>
              <w:color w:val="auto"/>
              <w:highlight w:val="none"/>
            </w:rPr>
            <w:fldChar w:fldCharType="end"/>
          </w:r>
        </w:p>
        <w:p>
          <w:pPr>
            <w:pStyle w:val="14"/>
            <w:tabs>
              <w:tab w:val="right" w:leader="dot" w:pos="9071"/>
            </w:tabs>
          </w:pPr>
          <w:r>
            <w:rPr>
              <w:color w:val="auto"/>
              <w:highlight w:val="none"/>
            </w:rPr>
            <w:fldChar w:fldCharType="begin"/>
          </w:r>
          <w:r>
            <w:rPr>
              <w:highlight w:val="none"/>
            </w:rPr>
            <w:instrText xml:space="preserve"> HYPERLINK \l _Toc23630 </w:instrText>
          </w:r>
          <w:r>
            <w:rPr>
              <w:highlight w:val="none"/>
            </w:rPr>
            <w:fldChar w:fldCharType="separate"/>
          </w:r>
          <w:r>
            <w:rPr>
              <w:rFonts w:hint="eastAsia" w:ascii="宋体" w:hAnsi="宋体" w:eastAsia="宋体" w:cs="宋体"/>
              <w:bCs/>
              <w:szCs w:val="31"/>
              <w:highlight w:val="none"/>
            </w:rPr>
            <w:t>七、投标纪律要求</w:t>
          </w:r>
          <w:r>
            <w:tab/>
          </w:r>
          <w:r>
            <w:fldChar w:fldCharType="begin"/>
          </w:r>
          <w:r>
            <w:instrText xml:space="preserve"> PAGEREF _Toc23630 \h </w:instrText>
          </w:r>
          <w:r>
            <w:fldChar w:fldCharType="separate"/>
          </w:r>
          <w:r>
            <w:t>16</w:t>
          </w:r>
          <w:r>
            <w:fldChar w:fldCharType="end"/>
          </w:r>
          <w:r>
            <w:rPr>
              <w:color w:val="auto"/>
              <w:highlight w:val="none"/>
            </w:rPr>
            <w:fldChar w:fldCharType="end"/>
          </w:r>
        </w:p>
        <w:p>
          <w:pPr>
            <w:pStyle w:val="14"/>
            <w:tabs>
              <w:tab w:val="right" w:leader="dot" w:pos="9071"/>
            </w:tabs>
          </w:pPr>
          <w:r>
            <w:rPr>
              <w:color w:val="auto"/>
              <w:highlight w:val="none"/>
            </w:rPr>
            <w:fldChar w:fldCharType="begin"/>
          </w:r>
          <w:r>
            <w:rPr>
              <w:highlight w:val="none"/>
            </w:rPr>
            <w:instrText xml:space="preserve"> HYPERLINK \l _Toc2277 </w:instrText>
          </w:r>
          <w:r>
            <w:rPr>
              <w:highlight w:val="none"/>
            </w:rPr>
            <w:fldChar w:fldCharType="separate"/>
          </w:r>
          <w:r>
            <w:rPr>
              <w:rFonts w:hint="eastAsia" w:ascii="宋体" w:hAnsi="宋体" w:eastAsia="宋体" w:cs="宋体"/>
              <w:bCs/>
              <w:szCs w:val="31"/>
              <w:highlight w:val="none"/>
            </w:rPr>
            <w:t>八、询问、质疑和投诉</w:t>
          </w:r>
          <w:r>
            <w:tab/>
          </w:r>
          <w:r>
            <w:fldChar w:fldCharType="begin"/>
          </w:r>
          <w:r>
            <w:instrText xml:space="preserve"> PAGEREF _Toc2277 \h </w:instrText>
          </w:r>
          <w:r>
            <w:fldChar w:fldCharType="separate"/>
          </w:r>
          <w:r>
            <w:t>16</w:t>
          </w:r>
          <w:r>
            <w:fldChar w:fldCharType="end"/>
          </w:r>
          <w:r>
            <w:rPr>
              <w:color w:val="auto"/>
              <w:highlight w:val="none"/>
            </w:rPr>
            <w:fldChar w:fldCharType="end"/>
          </w:r>
        </w:p>
        <w:p>
          <w:pPr>
            <w:pStyle w:val="14"/>
            <w:tabs>
              <w:tab w:val="right" w:leader="dot" w:pos="9071"/>
            </w:tabs>
          </w:pPr>
          <w:r>
            <w:rPr>
              <w:color w:val="auto"/>
              <w:highlight w:val="none"/>
            </w:rPr>
            <w:fldChar w:fldCharType="begin"/>
          </w:r>
          <w:r>
            <w:rPr>
              <w:highlight w:val="none"/>
            </w:rPr>
            <w:instrText xml:space="preserve"> HYPERLINK \l _Toc30615 </w:instrText>
          </w:r>
          <w:r>
            <w:rPr>
              <w:highlight w:val="none"/>
            </w:rPr>
            <w:fldChar w:fldCharType="separate"/>
          </w:r>
          <w:r>
            <w:rPr>
              <w:rFonts w:hint="eastAsia" w:ascii="宋体" w:hAnsi="宋体" w:eastAsia="宋体" w:cs="宋体"/>
              <w:bCs/>
              <w:szCs w:val="31"/>
              <w:highlight w:val="none"/>
            </w:rPr>
            <w:t>九、其他</w:t>
          </w:r>
          <w:r>
            <w:tab/>
          </w:r>
          <w:r>
            <w:fldChar w:fldCharType="begin"/>
          </w:r>
          <w:r>
            <w:instrText xml:space="preserve"> PAGEREF _Toc30615 \h </w:instrText>
          </w:r>
          <w:r>
            <w:fldChar w:fldCharType="separate"/>
          </w:r>
          <w:r>
            <w:t>16</w:t>
          </w:r>
          <w:r>
            <w:fldChar w:fldCharType="end"/>
          </w:r>
          <w:r>
            <w:rPr>
              <w:color w:val="auto"/>
              <w:highlight w:val="none"/>
            </w:rPr>
            <w:fldChar w:fldCharType="end"/>
          </w:r>
        </w:p>
        <w:p>
          <w:pPr>
            <w:pStyle w:val="13"/>
            <w:tabs>
              <w:tab w:val="right" w:leader="dot" w:pos="9071"/>
            </w:tabs>
          </w:pPr>
          <w:r>
            <w:rPr>
              <w:color w:val="auto"/>
              <w:highlight w:val="none"/>
            </w:rPr>
            <w:fldChar w:fldCharType="begin"/>
          </w:r>
          <w:r>
            <w:rPr>
              <w:highlight w:val="none"/>
            </w:rPr>
            <w:instrText xml:space="preserve"> HYPERLINK \l _Toc17804 </w:instrText>
          </w:r>
          <w:r>
            <w:rPr>
              <w:highlight w:val="none"/>
            </w:rPr>
            <w:fldChar w:fldCharType="separate"/>
          </w:r>
          <w:r>
            <w:rPr>
              <w:rFonts w:hint="eastAsia" w:ascii="宋体" w:hAnsi="宋体" w:eastAsia="宋体" w:cs="宋体"/>
              <w:szCs w:val="36"/>
              <w:highlight w:val="none"/>
              <w14:textOutline w14:w="6540" w14:cap="sq" w14:cmpd="sng" w14:algn="ctr">
                <w14:solidFill>
                  <w14:srgbClr w14:val="000000"/>
                </w14:solidFill>
                <w14:prstDash w14:val="solid"/>
                <w14:bevel/>
              </w14:textOutline>
            </w:rPr>
            <w:t>第三章 投标文件格式</w:t>
          </w:r>
          <w:r>
            <w:tab/>
          </w:r>
          <w:r>
            <w:fldChar w:fldCharType="begin"/>
          </w:r>
          <w:r>
            <w:instrText xml:space="preserve"> PAGEREF _Toc17804 \h </w:instrText>
          </w:r>
          <w:r>
            <w:fldChar w:fldCharType="separate"/>
          </w:r>
          <w:r>
            <w:t>17</w:t>
          </w:r>
          <w:r>
            <w:fldChar w:fldCharType="end"/>
          </w:r>
          <w:r>
            <w:rPr>
              <w:color w:val="auto"/>
              <w:highlight w:val="none"/>
            </w:rPr>
            <w:fldChar w:fldCharType="end"/>
          </w:r>
        </w:p>
        <w:p>
          <w:pPr>
            <w:pStyle w:val="14"/>
            <w:tabs>
              <w:tab w:val="right" w:leader="dot" w:pos="9071"/>
            </w:tabs>
          </w:pPr>
          <w:r>
            <w:rPr>
              <w:color w:val="auto"/>
              <w:highlight w:val="none"/>
            </w:rPr>
            <w:fldChar w:fldCharType="begin"/>
          </w:r>
          <w:r>
            <w:rPr>
              <w:highlight w:val="none"/>
            </w:rPr>
            <w:instrText xml:space="preserve"> HYPERLINK \l _Toc26429 </w:instrText>
          </w:r>
          <w:r>
            <w:rPr>
              <w:highlight w:val="none"/>
            </w:rPr>
            <w:fldChar w:fldCharType="separate"/>
          </w:r>
          <w:r>
            <w:rPr>
              <w:rFonts w:hint="eastAsia" w:ascii="宋体" w:hAnsi="宋体" w:eastAsia="宋体" w:cs="宋体"/>
              <w:bCs/>
              <w:szCs w:val="44"/>
              <w:highlight w:val="none"/>
            </w:rPr>
            <w:t>第一部分：资格性投标文件</w:t>
          </w:r>
          <w:r>
            <w:tab/>
          </w:r>
          <w:r>
            <w:fldChar w:fldCharType="begin"/>
          </w:r>
          <w:r>
            <w:instrText xml:space="preserve"> PAGEREF _Toc26429 \h </w:instrText>
          </w:r>
          <w:r>
            <w:fldChar w:fldCharType="separate"/>
          </w:r>
          <w:r>
            <w:t>18</w:t>
          </w:r>
          <w:r>
            <w:fldChar w:fldCharType="end"/>
          </w:r>
          <w:r>
            <w:rPr>
              <w:color w:val="auto"/>
              <w:highlight w:val="none"/>
            </w:rPr>
            <w:fldChar w:fldCharType="end"/>
          </w:r>
        </w:p>
        <w:p>
          <w:pPr>
            <w:pStyle w:val="14"/>
            <w:tabs>
              <w:tab w:val="right" w:leader="dot" w:pos="9071"/>
            </w:tabs>
          </w:pPr>
          <w:r>
            <w:rPr>
              <w:color w:val="auto"/>
              <w:highlight w:val="none"/>
            </w:rPr>
            <w:fldChar w:fldCharType="begin"/>
          </w:r>
          <w:r>
            <w:rPr>
              <w:highlight w:val="none"/>
            </w:rPr>
            <w:instrText xml:space="preserve"> HYPERLINK \l _Toc4716 </w:instrText>
          </w:r>
          <w:r>
            <w:rPr>
              <w:highlight w:val="none"/>
            </w:rPr>
            <w:fldChar w:fldCharType="separate"/>
          </w:r>
          <w:r>
            <w:rPr>
              <w:rFonts w:hint="eastAsia" w:ascii="宋体" w:hAnsi="宋体" w:eastAsia="宋体" w:cs="宋体"/>
              <w:bCs/>
              <w:szCs w:val="44"/>
              <w:highlight w:val="none"/>
            </w:rPr>
            <w:t>第二部分：其他响应性投标文件</w:t>
          </w:r>
          <w:r>
            <w:tab/>
          </w:r>
          <w:r>
            <w:fldChar w:fldCharType="begin"/>
          </w:r>
          <w:r>
            <w:instrText xml:space="preserve"> PAGEREF _Toc4716 \h </w:instrText>
          </w:r>
          <w:r>
            <w:fldChar w:fldCharType="separate"/>
          </w:r>
          <w:r>
            <w:t>23</w:t>
          </w:r>
          <w:r>
            <w:fldChar w:fldCharType="end"/>
          </w:r>
          <w:r>
            <w:rPr>
              <w:color w:val="auto"/>
              <w:highlight w:val="none"/>
            </w:rPr>
            <w:fldChar w:fldCharType="end"/>
          </w:r>
        </w:p>
        <w:p>
          <w:pPr>
            <w:pStyle w:val="13"/>
            <w:tabs>
              <w:tab w:val="right" w:leader="dot" w:pos="9071"/>
            </w:tabs>
          </w:pPr>
          <w:r>
            <w:rPr>
              <w:color w:val="auto"/>
              <w:highlight w:val="none"/>
            </w:rPr>
            <w:fldChar w:fldCharType="begin"/>
          </w:r>
          <w:r>
            <w:rPr>
              <w:highlight w:val="none"/>
            </w:rPr>
            <w:instrText xml:space="preserve"> HYPERLINK \l _Toc1869 </w:instrText>
          </w:r>
          <w:r>
            <w:rPr>
              <w:highlight w:val="none"/>
            </w:rPr>
            <w:fldChar w:fldCharType="separate"/>
          </w:r>
          <w:r>
            <w:rPr>
              <w:rFonts w:hint="eastAsia" w:ascii="宋体" w:hAnsi="宋体" w:eastAsia="宋体" w:cs="宋体"/>
              <w:spacing w:val="11"/>
              <w:szCs w:val="36"/>
              <w:highlight w:val="none"/>
              <w14:textOutline w14:w="6540" w14:cap="sq" w14:cmpd="sng" w14:algn="ctr">
                <w14:solidFill>
                  <w14:srgbClr w14:val="000000"/>
                </w14:solidFill>
                <w14:prstDash w14:val="solid"/>
                <w14:bevel/>
              </w14:textOutline>
            </w:rPr>
            <w:t>第四章 投标人和投标产品的资格、资质性及其他类似效力要求</w:t>
          </w:r>
          <w:r>
            <w:tab/>
          </w:r>
          <w:r>
            <w:fldChar w:fldCharType="begin"/>
          </w:r>
          <w:r>
            <w:instrText xml:space="preserve"> PAGEREF _Toc1869 \h </w:instrText>
          </w:r>
          <w:r>
            <w:fldChar w:fldCharType="separate"/>
          </w:r>
          <w:r>
            <w:t>35</w:t>
          </w:r>
          <w:r>
            <w:fldChar w:fldCharType="end"/>
          </w:r>
          <w:r>
            <w:rPr>
              <w:color w:val="auto"/>
              <w:highlight w:val="none"/>
            </w:rPr>
            <w:fldChar w:fldCharType="end"/>
          </w:r>
        </w:p>
        <w:p>
          <w:pPr>
            <w:pStyle w:val="13"/>
            <w:tabs>
              <w:tab w:val="right" w:leader="dot" w:pos="9071"/>
            </w:tabs>
          </w:pPr>
          <w:r>
            <w:rPr>
              <w:color w:val="auto"/>
              <w:highlight w:val="none"/>
            </w:rPr>
            <w:fldChar w:fldCharType="begin"/>
          </w:r>
          <w:r>
            <w:rPr>
              <w:highlight w:val="none"/>
            </w:rPr>
            <w:instrText xml:space="preserve"> HYPERLINK \l _Toc4044 </w:instrText>
          </w:r>
          <w:r>
            <w:rPr>
              <w:highlight w:val="none"/>
            </w:rPr>
            <w:fldChar w:fldCharType="separate"/>
          </w:r>
          <w:r>
            <w:rPr>
              <w:rFonts w:hint="eastAsia" w:ascii="宋体" w:hAnsi="宋体" w:eastAsia="宋体" w:cs="宋体"/>
              <w:spacing w:val="11"/>
              <w:szCs w:val="36"/>
              <w:highlight w:val="none"/>
              <w14:textOutline w14:w="6540" w14:cap="sq" w14:cmpd="sng" w14:algn="ctr">
                <w14:solidFill>
                  <w14:srgbClr w14:val="000000"/>
                </w14:solidFill>
                <w14:prstDash w14:val="solid"/>
                <w14:bevel/>
              </w14:textOutline>
            </w:rPr>
            <w:t>第五章  投标人应当提供的资格、资质性及其他类似效力要求的相关证明材料</w:t>
          </w:r>
          <w:r>
            <w:tab/>
          </w:r>
          <w:r>
            <w:fldChar w:fldCharType="begin"/>
          </w:r>
          <w:r>
            <w:instrText xml:space="preserve"> PAGEREF _Toc4044 \h </w:instrText>
          </w:r>
          <w:r>
            <w:fldChar w:fldCharType="separate"/>
          </w:r>
          <w:r>
            <w:t>36</w:t>
          </w:r>
          <w:r>
            <w:fldChar w:fldCharType="end"/>
          </w:r>
          <w:r>
            <w:rPr>
              <w:color w:val="auto"/>
              <w:highlight w:val="none"/>
            </w:rPr>
            <w:fldChar w:fldCharType="end"/>
          </w:r>
        </w:p>
        <w:p>
          <w:pPr>
            <w:pStyle w:val="13"/>
            <w:tabs>
              <w:tab w:val="right" w:leader="dot" w:pos="9071"/>
            </w:tabs>
          </w:pPr>
          <w:r>
            <w:rPr>
              <w:color w:val="auto"/>
              <w:highlight w:val="none"/>
            </w:rPr>
            <w:fldChar w:fldCharType="begin"/>
          </w:r>
          <w:r>
            <w:rPr>
              <w:highlight w:val="none"/>
            </w:rPr>
            <w:instrText xml:space="preserve"> HYPERLINK \l _Toc8606 </w:instrText>
          </w:r>
          <w:r>
            <w:rPr>
              <w:highlight w:val="none"/>
            </w:rPr>
            <w:fldChar w:fldCharType="separate"/>
          </w:r>
          <w:r>
            <w:rPr>
              <w:rFonts w:hint="eastAsia" w:ascii="宋体" w:hAnsi="宋体" w:eastAsia="宋体" w:cs="宋体"/>
              <w:spacing w:val="11"/>
              <w:szCs w:val="36"/>
              <w:highlight w:val="none"/>
              <w14:textOutline w14:w="6540" w14:cap="sq" w14:cmpd="sng" w14:algn="ctr">
                <w14:solidFill>
                  <w14:srgbClr w14:val="000000"/>
                </w14:solidFill>
                <w14:prstDash w14:val="solid"/>
                <w14:bevel/>
              </w14:textOutline>
            </w:rPr>
            <w:t>第六章 招标项目技术、服务及商务要求</w:t>
          </w:r>
          <w:r>
            <w:tab/>
          </w:r>
          <w:r>
            <w:fldChar w:fldCharType="begin"/>
          </w:r>
          <w:r>
            <w:instrText xml:space="preserve"> PAGEREF _Toc8606 \h </w:instrText>
          </w:r>
          <w:r>
            <w:fldChar w:fldCharType="separate"/>
          </w:r>
          <w:r>
            <w:t>37</w:t>
          </w:r>
          <w:r>
            <w:fldChar w:fldCharType="end"/>
          </w:r>
          <w:r>
            <w:rPr>
              <w:color w:val="auto"/>
              <w:highlight w:val="none"/>
            </w:rPr>
            <w:fldChar w:fldCharType="end"/>
          </w:r>
        </w:p>
        <w:p>
          <w:pPr>
            <w:pStyle w:val="14"/>
            <w:tabs>
              <w:tab w:val="right" w:leader="dot" w:pos="9071"/>
            </w:tabs>
          </w:pPr>
          <w:r>
            <w:rPr>
              <w:color w:val="auto"/>
              <w:highlight w:val="none"/>
            </w:rPr>
            <w:fldChar w:fldCharType="begin"/>
          </w:r>
          <w:r>
            <w:rPr>
              <w:highlight w:val="none"/>
            </w:rPr>
            <w:instrText xml:space="preserve"> HYPERLINK \l _Toc2090 </w:instrText>
          </w:r>
          <w:r>
            <w:rPr>
              <w:highlight w:val="none"/>
            </w:rPr>
            <w:fldChar w:fldCharType="separate"/>
          </w:r>
          <w:r>
            <w:rPr>
              <w:rFonts w:hint="eastAsia" w:ascii="宋体" w:hAnsi="宋体" w:eastAsia="宋体" w:cs="Times New Roman"/>
              <w:bCs/>
              <w:kern w:val="44"/>
              <w:szCs w:val="23"/>
            </w:rPr>
            <w:t xml:space="preserve">一、 </w:t>
          </w:r>
          <w:r>
            <w:rPr>
              <w:rFonts w:hint="eastAsia" w:ascii="宋体" w:hAnsi="宋体" w:eastAsia="宋体" w:cs="Times New Roman"/>
              <w:bCs/>
              <w:kern w:val="44"/>
              <w:szCs w:val="23"/>
              <w:highlight w:val="none"/>
            </w:rPr>
            <w:t>项目概况</w:t>
          </w:r>
          <w:r>
            <w:tab/>
          </w:r>
          <w:r>
            <w:fldChar w:fldCharType="begin"/>
          </w:r>
          <w:r>
            <w:instrText xml:space="preserve"> PAGEREF _Toc2090 \h </w:instrText>
          </w:r>
          <w:r>
            <w:fldChar w:fldCharType="separate"/>
          </w:r>
          <w:r>
            <w:t>37</w:t>
          </w:r>
          <w:r>
            <w:fldChar w:fldCharType="end"/>
          </w:r>
          <w:r>
            <w:rPr>
              <w:color w:val="auto"/>
              <w:highlight w:val="none"/>
            </w:rPr>
            <w:fldChar w:fldCharType="end"/>
          </w:r>
        </w:p>
        <w:p>
          <w:pPr>
            <w:pStyle w:val="14"/>
            <w:tabs>
              <w:tab w:val="right" w:leader="dot" w:pos="9071"/>
            </w:tabs>
          </w:pPr>
          <w:r>
            <w:rPr>
              <w:color w:val="auto"/>
              <w:highlight w:val="none"/>
            </w:rPr>
            <w:fldChar w:fldCharType="begin"/>
          </w:r>
          <w:r>
            <w:rPr>
              <w:highlight w:val="none"/>
            </w:rPr>
            <w:instrText xml:space="preserve"> HYPERLINK \l _Toc26284 </w:instrText>
          </w:r>
          <w:r>
            <w:rPr>
              <w:highlight w:val="none"/>
            </w:rPr>
            <w:fldChar w:fldCharType="separate"/>
          </w:r>
          <w:r>
            <w:rPr>
              <w:rFonts w:hint="eastAsia" w:ascii="宋体" w:hAnsi="宋体" w:eastAsia="宋体" w:cs="Times New Roman"/>
              <w:bCs/>
              <w:kern w:val="44"/>
              <w:szCs w:val="23"/>
            </w:rPr>
            <w:t xml:space="preserve">二、 </w:t>
          </w:r>
          <w:r>
            <w:rPr>
              <w:rFonts w:hint="eastAsia" w:ascii="宋体" w:hAnsi="宋体" w:eastAsia="宋体" w:cs="Times New Roman"/>
              <w:bCs/>
              <w:kern w:val="44"/>
              <w:szCs w:val="23"/>
              <w:highlight w:val="none"/>
            </w:rPr>
            <w:t>★</w:t>
          </w:r>
          <w:r>
            <w:rPr>
              <w:rFonts w:hint="eastAsia" w:ascii="宋体" w:hAnsi="宋体" w:eastAsia="宋体" w:cs="Times New Roman"/>
              <w:bCs/>
              <w:kern w:val="44"/>
              <w:szCs w:val="23"/>
              <w:highlight w:val="none"/>
              <w:lang w:val="en-US" w:eastAsia="zh-CN"/>
            </w:rPr>
            <w:t>采购范围及内容</w:t>
          </w:r>
          <w:r>
            <w:tab/>
          </w:r>
          <w:r>
            <w:fldChar w:fldCharType="begin"/>
          </w:r>
          <w:r>
            <w:instrText xml:space="preserve"> PAGEREF _Toc26284 \h </w:instrText>
          </w:r>
          <w:r>
            <w:fldChar w:fldCharType="separate"/>
          </w:r>
          <w:r>
            <w:t>37</w:t>
          </w:r>
          <w:r>
            <w:fldChar w:fldCharType="end"/>
          </w:r>
          <w:r>
            <w:rPr>
              <w:color w:val="auto"/>
              <w:highlight w:val="none"/>
            </w:rPr>
            <w:fldChar w:fldCharType="end"/>
          </w:r>
        </w:p>
        <w:p>
          <w:pPr>
            <w:pStyle w:val="14"/>
            <w:tabs>
              <w:tab w:val="right" w:leader="dot" w:pos="9071"/>
            </w:tabs>
          </w:pPr>
          <w:r>
            <w:rPr>
              <w:color w:val="auto"/>
              <w:highlight w:val="none"/>
            </w:rPr>
            <w:fldChar w:fldCharType="begin"/>
          </w:r>
          <w:r>
            <w:rPr>
              <w:highlight w:val="none"/>
            </w:rPr>
            <w:instrText xml:space="preserve"> HYPERLINK \l _Toc8745 </w:instrText>
          </w:r>
          <w:r>
            <w:rPr>
              <w:highlight w:val="none"/>
            </w:rPr>
            <w:fldChar w:fldCharType="separate"/>
          </w:r>
          <w:r>
            <w:rPr>
              <w:rFonts w:hint="eastAsia" w:ascii="宋体" w:hAnsi="宋体" w:eastAsia="宋体" w:cs="Times New Roman"/>
              <w:bCs/>
              <w:kern w:val="44"/>
              <w:szCs w:val="23"/>
              <w:lang w:val="en-US" w:eastAsia="zh-CN"/>
            </w:rPr>
            <w:t xml:space="preserve">三、 </w:t>
          </w:r>
          <w:r>
            <w:rPr>
              <w:rFonts w:hint="eastAsia" w:ascii="宋体" w:hAnsi="宋体" w:eastAsia="宋体" w:cs="Times New Roman"/>
              <w:bCs/>
              <w:kern w:val="44"/>
              <w:szCs w:val="23"/>
              <w:highlight w:val="none"/>
              <w:lang w:val="en-US" w:eastAsia="zh-CN"/>
            </w:rPr>
            <w:t>技术要求（功能和质量要求）</w:t>
          </w:r>
          <w:r>
            <w:tab/>
          </w:r>
          <w:r>
            <w:fldChar w:fldCharType="begin"/>
          </w:r>
          <w:r>
            <w:instrText xml:space="preserve"> PAGEREF _Toc8745 \h </w:instrText>
          </w:r>
          <w:r>
            <w:fldChar w:fldCharType="separate"/>
          </w:r>
          <w:r>
            <w:t>37</w:t>
          </w:r>
          <w:r>
            <w:fldChar w:fldCharType="end"/>
          </w:r>
          <w:r>
            <w:rPr>
              <w:color w:val="auto"/>
              <w:highlight w:val="none"/>
            </w:rPr>
            <w:fldChar w:fldCharType="end"/>
          </w:r>
        </w:p>
        <w:p>
          <w:pPr>
            <w:pStyle w:val="14"/>
            <w:tabs>
              <w:tab w:val="right" w:leader="dot" w:pos="9071"/>
            </w:tabs>
          </w:pPr>
          <w:r>
            <w:rPr>
              <w:color w:val="auto"/>
              <w:highlight w:val="none"/>
            </w:rPr>
            <w:fldChar w:fldCharType="begin"/>
          </w:r>
          <w:r>
            <w:rPr>
              <w:highlight w:val="none"/>
            </w:rPr>
            <w:instrText xml:space="preserve"> HYPERLINK \l _Toc602 </w:instrText>
          </w:r>
          <w:r>
            <w:rPr>
              <w:highlight w:val="none"/>
            </w:rPr>
            <w:fldChar w:fldCharType="separate"/>
          </w:r>
          <w:r>
            <w:rPr>
              <w:rFonts w:hint="eastAsia" w:ascii="宋体" w:hAnsi="宋体" w:eastAsia="宋体" w:cs="Times New Roman"/>
              <w:bCs/>
              <w:kern w:val="44"/>
              <w:szCs w:val="23"/>
            </w:rPr>
            <w:t xml:space="preserve">四、 </w:t>
          </w:r>
          <w:r>
            <w:rPr>
              <w:rFonts w:hint="eastAsia" w:ascii="宋体" w:hAnsi="宋体" w:eastAsia="宋体" w:cs="Times New Roman"/>
              <w:bCs/>
              <w:kern w:val="44"/>
              <w:szCs w:val="23"/>
              <w:highlight w:val="none"/>
            </w:rPr>
            <w:t>★商务要求</w:t>
          </w:r>
          <w:r>
            <w:tab/>
          </w:r>
          <w:r>
            <w:fldChar w:fldCharType="begin"/>
          </w:r>
          <w:r>
            <w:instrText xml:space="preserve"> PAGEREF _Toc602 \h </w:instrText>
          </w:r>
          <w:r>
            <w:fldChar w:fldCharType="separate"/>
          </w:r>
          <w:r>
            <w:t>38</w:t>
          </w:r>
          <w:r>
            <w:fldChar w:fldCharType="end"/>
          </w:r>
          <w:r>
            <w:rPr>
              <w:color w:val="auto"/>
              <w:highlight w:val="none"/>
            </w:rPr>
            <w:fldChar w:fldCharType="end"/>
          </w:r>
        </w:p>
        <w:p>
          <w:pPr>
            <w:pStyle w:val="14"/>
            <w:tabs>
              <w:tab w:val="right" w:leader="dot" w:pos="9071"/>
            </w:tabs>
          </w:pPr>
          <w:r>
            <w:rPr>
              <w:color w:val="auto"/>
              <w:highlight w:val="none"/>
            </w:rPr>
            <w:fldChar w:fldCharType="begin"/>
          </w:r>
          <w:r>
            <w:rPr>
              <w:highlight w:val="none"/>
            </w:rPr>
            <w:instrText xml:space="preserve"> HYPERLINK \l _Toc8889 </w:instrText>
          </w:r>
          <w:r>
            <w:rPr>
              <w:highlight w:val="none"/>
            </w:rPr>
            <w:fldChar w:fldCharType="separate"/>
          </w:r>
          <w:r>
            <w:rPr>
              <w:rFonts w:hint="eastAsia" w:ascii="宋体" w:hAnsi="宋体" w:eastAsia="宋体" w:cs="宋体"/>
              <w:bCs/>
              <w:szCs w:val="24"/>
              <w:lang w:val="en-US" w:eastAsia="zh-CN"/>
            </w:rPr>
            <w:t xml:space="preserve">五、 </w:t>
          </w:r>
          <w:r>
            <w:rPr>
              <w:rFonts w:hint="eastAsia" w:ascii="Times New Roman" w:hAnsi="Times New Roman" w:eastAsia="宋体" w:cs="Times New Roman"/>
              <w:bCs/>
              <w:szCs w:val="28"/>
              <w:highlight w:val="none"/>
            </w:rPr>
            <w:t>★</w:t>
          </w:r>
          <w:r>
            <w:rPr>
              <w:rFonts w:hint="eastAsia" w:ascii="宋体" w:hAnsi="宋体" w:eastAsia="宋体" w:cs="宋体"/>
              <w:bCs/>
              <w:szCs w:val="24"/>
              <w:highlight w:val="none"/>
              <w:lang w:eastAsia="zh-CN"/>
            </w:rPr>
            <w:t>履约保证金要求</w:t>
          </w:r>
          <w:r>
            <w:tab/>
          </w:r>
          <w:r>
            <w:fldChar w:fldCharType="begin"/>
          </w:r>
          <w:r>
            <w:instrText xml:space="preserve"> PAGEREF _Toc8889 \h </w:instrText>
          </w:r>
          <w:r>
            <w:fldChar w:fldCharType="separate"/>
          </w:r>
          <w:r>
            <w:t>39</w:t>
          </w:r>
          <w:r>
            <w:fldChar w:fldCharType="end"/>
          </w:r>
          <w:r>
            <w:rPr>
              <w:color w:val="auto"/>
              <w:highlight w:val="none"/>
            </w:rPr>
            <w:fldChar w:fldCharType="end"/>
          </w:r>
        </w:p>
        <w:p>
          <w:pPr>
            <w:pStyle w:val="14"/>
            <w:tabs>
              <w:tab w:val="right" w:leader="dot" w:pos="9071"/>
            </w:tabs>
          </w:pPr>
          <w:r>
            <w:rPr>
              <w:color w:val="auto"/>
              <w:highlight w:val="none"/>
            </w:rPr>
            <w:fldChar w:fldCharType="begin"/>
          </w:r>
          <w:r>
            <w:rPr>
              <w:highlight w:val="none"/>
            </w:rPr>
            <w:instrText xml:space="preserve"> HYPERLINK \l _Toc21491 </w:instrText>
          </w:r>
          <w:r>
            <w:rPr>
              <w:highlight w:val="none"/>
            </w:rPr>
            <w:fldChar w:fldCharType="separate"/>
          </w:r>
          <w:r>
            <w:rPr>
              <w:rFonts w:hint="eastAsia" w:ascii="宋体" w:hAnsi="宋体" w:eastAsia="宋体" w:cs="宋体"/>
              <w:bCs/>
              <w:kern w:val="44"/>
              <w:szCs w:val="24"/>
              <w:lang w:eastAsia="zh-CN"/>
            </w:rPr>
            <w:t xml:space="preserve">六、 </w:t>
          </w:r>
          <w:r>
            <w:rPr>
              <w:rFonts w:hint="eastAsia" w:ascii="宋体" w:hAnsi="宋体" w:eastAsia="宋体" w:cs="宋体"/>
              <w:bCs/>
              <w:kern w:val="44"/>
              <w:szCs w:val="24"/>
              <w:highlight w:val="none"/>
              <w:lang w:eastAsia="zh-CN"/>
            </w:rPr>
            <w:t>方案要求</w:t>
          </w:r>
          <w:r>
            <w:tab/>
          </w:r>
          <w:r>
            <w:fldChar w:fldCharType="begin"/>
          </w:r>
          <w:r>
            <w:instrText xml:space="preserve"> PAGEREF _Toc21491 \h </w:instrText>
          </w:r>
          <w:r>
            <w:fldChar w:fldCharType="separate"/>
          </w:r>
          <w:r>
            <w:t>40</w:t>
          </w:r>
          <w:r>
            <w:fldChar w:fldCharType="end"/>
          </w:r>
          <w:r>
            <w:rPr>
              <w:color w:val="auto"/>
              <w:highlight w:val="none"/>
            </w:rPr>
            <w:fldChar w:fldCharType="end"/>
          </w:r>
        </w:p>
        <w:p>
          <w:pPr>
            <w:pStyle w:val="14"/>
            <w:tabs>
              <w:tab w:val="right" w:leader="dot" w:pos="9071"/>
            </w:tabs>
          </w:pPr>
          <w:r>
            <w:rPr>
              <w:color w:val="auto"/>
              <w:highlight w:val="none"/>
            </w:rPr>
            <w:fldChar w:fldCharType="begin"/>
          </w:r>
          <w:r>
            <w:rPr>
              <w:highlight w:val="none"/>
            </w:rPr>
            <w:instrText xml:space="preserve"> HYPERLINK \l _Toc18869 </w:instrText>
          </w:r>
          <w:r>
            <w:rPr>
              <w:highlight w:val="none"/>
            </w:rPr>
            <w:fldChar w:fldCharType="separate"/>
          </w:r>
          <w:r>
            <w:rPr>
              <w:rFonts w:hint="eastAsia" w:ascii="宋体" w:hAnsi="宋体" w:eastAsia="宋体" w:cs="宋体"/>
              <w:bCs/>
              <w:kern w:val="44"/>
              <w:szCs w:val="24"/>
              <w:lang w:eastAsia="zh-CN"/>
            </w:rPr>
            <w:t xml:space="preserve">七、 </w:t>
          </w:r>
          <w:r>
            <w:rPr>
              <w:rFonts w:hint="eastAsia" w:ascii="宋体" w:hAnsi="宋体" w:eastAsia="宋体" w:cs="宋体"/>
              <w:bCs/>
              <w:kern w:val="44"/>
              <w:szCs w:val="24"/>
              <w:highlight w:val="none"/>
              <w:lang w:val="en-US" w:eastAsia="zh-CN"/>
            </w:rPr>
            <w:t>样品要求</w:t>
          </w:r>
          <w:r>
            <w:tab/>
          </w:r>
          <w:r>
            <w:fldChar w:fldCharType="begin"/>
          </w:r>
          <w:r>
            <w:instrText xml:space="preserve"> PAGEREF _Toc18869 \h </w:instrText>
          </w:r>
          <w:r>
            <w:fldChar w:fldCharType="separate"/>
          </w:r>
          <w:r>
            <w:t>40</w:t>
          </w:r>
          <w:r>
            <w:fldChar w:fldCharType="end"/>
          </w:r>
          <w:r>
            <w:rPr>
              <w:color w:val="auto"/>
              <w:highlight w:val="none"/>
            </w:rPr>
            <w:fldChar w:fldCharType="end"/>
          </w:r>
        </w:p>
        <w:p>
          <w:pPr>
            <w:pStyle w:val="13"/>
            <w:tabs>
              <w:tab w:val="right" w:leader="dot" w:pos="9071"/>
            </w:tabs>
          </w:pPr>
          <w:r>
            <w:rPr>
              <w:color w:val="auto"/>
              <w:highlight w:val="none"/>
            </w:rPr>
            <w:fldChar w:fldCharType="begin"/>
          </w:r>
          <w:r>
            <w:rPr>
              <w:highlight w:val="none"/>
            </w:rPr>
            <w:instrText xml:space="preserve"> HYPERLINK \l _Toc19151 </w:instrText>
          </w:r>
          <w:r>
            <w:rPr>
              <w:highlight w:val="none"/>
            </w:rPr>
            <w:fldChar w:fldCharType="separate"/>
          </w:r>
          <w:r>
            <w:rPr>
              <w:rFonts w:hint="eastAsia" w:ascii="宋体" w:hAnsi="宋体" w:eastAsia="宋体" w:cs="宋体"/>
              <w:spacing w:val="11"/>
              <w:szCs w:val="36"/>
              <w:highlight w:val="none"/>
              <w14:textOutline w14:w="6540" w14:cap="sq" w14:cmpd="sng" w14:algn="ctr">
                <w14:solidFill>
                  <w14:srgbClr w14:val="000000"/>
                </w14:solidFill>
                <w14:prstDash w14:val="solid"/>
                <w14:bevel/>
              </w14:textOutline>
            </w:rPr>
            <w:t>第七章  评标办法</w:t>
          </w:r>
          <w:r>
            <w:tab/>
          </w:r>
          <w:r>
            <w:fldChar w:fldCharType="begin"/>
          </w:r>
          <w:r>
            <w:instrText xml:space="preserve"> PAGEREF _Toc19151 \h </w:instrText>
          </w:r>
          <w:r>
            <w:fldChar w:fldCharType="separate"/>
          </w:r>
          <w:r>
            <w:t>41</w:t>
          </w:r>
          <w:r>
            <w:fldChar w:fldCharType="end"/>
          </w:r>
          <w:r>
            <w:rPr>
              <w:color w:val="auto"/>
              <w:highlight w:val="none"/>
            </w:rPr>
            <w:fldChar w:fldCharType="end"/>
          </w:r>
        </w:p>
        <w:p>
          <w:pPr>
            <w:pStyle w:val="14"/>
            <w:tabs>
              <w:tab w:val="right" w:leader="dot" w:pos="9071"/>
            </w:tabs>
          </w:pPr>
          <w:r>
            <w:rPr>
              <w:color w:val="auto"/>
              <w:highlight w:val="none"/>
            </w:rPr>
            <w:fldChar w:fldCharType="begin"/>
          </w:r>
          <w:r>
            <w:rPr>
              <w:highlight w:val="none"/>
            </w:rPr>
            <w:instrText xml:space="preserve"> HYPERLINK \l _Toc25682 </w:instrText>
          </w:r>
          <w:r>
            <w:rPr>
              <w:highlight w:val="none"/>
            </w:rPr>
            <w:fldChar w:fldCharType="separate"/>
          </w:r>
          <w:r>
            <w:rPr>
              <w:rFonts w:hint="eastAsia" w:ascii="宋体" w:hAnsi="宋体" w:eastAsia="宋体" w:cs="宋体"/>
              <w:bCs/>
              <w:szCs w:val="24"/>
              <w:highlight w:val="none"/>
              <w:lang w:eastAsia="zh-CN"/>
            </w:rPr>
            <w:t>一、</w:t>
          </w:r>
          <w:r>
            <w:rPr>
              <w:rFonts w:hint="eastAsia" w:ascii="宋体" w:hAnsi="宋体" w:eastAsia="宋体" w:cs="宋体"/>
              <w:bCs/>
              <w:szCs w:val="24"/>
              <w:highlight w:val="none"/>
            </w:rPr>
            <w:t>总则</w:t>
          </w:r>
          <w:r>
            <w:tab/>
          </w:r>
          <w:r>
            <w:fldChar w:fldCharType="begin"/>
          </w:r>
          <w:r>
            <w:instrText xml:space="preserve"> PAGEREF _Toc25682 \h </w:instrText>
          </w:r>
          <w:r>
            <w:fldChar w:fldCharType="separate"/>
          </w:r>
          <w:r>
            <w:t>41</w:t>
          </w:r>
          <w:r>
            <w:fldChar w:fldCharType="end"/>
          </w:r>
          <w:r>
            <w:rPr>
              <w:color w:val="auto"/>
              <w:highlight w:val="none"/>
            </w:rPr>
            <w:fldChar w:fldCharType="end"/>
          </w:r>
        </w:p>
        <w:p>
          <w:pPr>
            <w:pStyle w:val="14"/>
            <w:tabs>
              <w:tab w:val="right" w:leader="dot" w:pos="9071"/>
            </w:tabs>
          </w:pPr>
          <w:r>
            <w:rPr>
              <w:color w:val="auto"/>
              <w:highlight w:val="none"/>
            </w:rPr>
            <w:fldChar w:fldCharType="begin"/>
          </w:r>
          <w:r>
            <w:rPr>
              <w:highlight w:val="none"/>
            </w:rPr>
            <w:instrText xml:space="preserve"> HYPERLINK \l _Toc13707 </w:instrText>
          </w:r>
          <w:r>
            <w:rPr>
              <w:highlight w:val="none"/>
            </w:rPr>
            <w:fldChar w:fldCharType="separate"/>
          </w:r>
          <w:r>
            <w:rPr>
              <w:rFonts w:hint="eastAsia" w:ascii="宋体" w:hAnsi="宋体" w:eastAsia="宋体" w:cs="宋体"/>
              <w:bCs/>
              <w:szCs w:val="24"/>
              <w:highlight w:val="none"/>
              <w:lang w:eastAsia="zh-CN"/>
            </w:rPr>
            <w:t>二、</w:t>
          </w:r>
          <w:r>
            <w:rPr>
              <w:rFonts w:hint="eastAsia" w:ascii="宋体" w:hAnsi="宋体" w:eastAsia="宋体" w:cs="宋体"/>
              <w:bCs/>
              <w:szCs w:val="24"/>
              <w:highlight w:val="none"/>
            </w:rPr>
            <w:t>评标方法</w:t>
          </w:r>
          <w:r>
            <w:tab/>
          </w:r>
          <w:r>
            <w:fldChar w:fldCharType="begin"/>
          </w:r>
          <w:r>
            <w:instrText xml:space="preserve"> PAGEREF _Toc13707 \h </w:instrText>
          </w:r>
          <w:r>
            <w:fldChar w:fldCharType="separate"/>
          </w:r>
          <w:r>
            <w:t>41</w:t>
          </w:r>
          <w:r>
            <w:fldChar w:fldCharType="end"/>
          </w:r>
          <w:r>
            <w:rPr>
              <w:color w:val="auto"/>
              <w:highlight w:val="none"/>
            </w:rPr>
            <w:fldChar w:fldCharType="end"/>
          </w:r>
        </w:p>
        <w:p>
          <w:pPr>
            <w:pStyle w:val="14"/>
            <w:tabs>
              <w:tab w:val="right" w:leader="dot" w:pos="9071"/>
            </w:tabs>
          </w:pPr>
          <w:r>
            <w:rPr>
              <w:color w:val="auto"/>
              <w:highlight w:val="none"/>
            </w:rPr>
            <w:fldChar w:fldCharType="begin"/>
          </w:r>
          <w:r>
            <w:rPr>
              <w:highlight w:val="none"/>
            </w:rPr>
            <w:instrText xml:space="preserve"> HYPERLINK \l _Toc19465 </w:instrText>
          </w:r>
          <w:r>
            <w:rPr>
              <w:highlight w:val="none"/>
            </w:rPr>
            <w:fldChar w:fldCharType="separate"/>
          </w:r>
          <w:r>
            <w:rPr>
              <w:rFonts w:hint="eastAsia" w:ascii="宋体" w:hAnsi="宋体" w:eastAsia="宋体" w:cs="宋体"/>
              <w:bCs/>
              <w:szCs w:val="24"/>
              <w:highlight w:val="none"/>
              <w:lang w:eastAsia="zh-CN"/>
            </w:rPr>
            <w:t>三、</w:t>
          </w:r>
          <w:r>
            <w:rPr>
              <w:rFonts w:hint="eastAsia" w:ascii="宋体" w:hAnsi="宋体" w:eastAsia="宋体" w:cs="宋体"/>
              <w:bCs/>
              <w:szCs w:val="24"/>
              <w:highlight w:val="none"/>
            </w:rPr>
            <w:t>评标程序</w:t>
          </w:r>
          <w:r>
            <w:tab/>
          </w:r>
          <w:r>
            <w:fldChar w:fldCharType="begin"/>
          </w:r>
          <w:r>
            <w:instrText xml:space="preserve"> PAGEREF _Toc19465 \h </w:instrText>
          </w:r>
          <w:r>
            <w:fldChar w:fldCharType="separate"/>
          </w:r>
          <w:r>
            <w:t>41</w:t>
          </w:r>
          <w:r>
            <w:fldChar w:fldCharType="end"/>
          </w:r>
          <w:r>
            <w:rPr>
              <w:color w:val="auto"/>
              <w:highlight w:val="none"/>
            </w:rPr>
            <w:fldChar w:fldCharType="end"/>
          </w:r>
        </w:p>
        <w:p>
          <w:pPr>
            <w:pStyle w:val="14"/>
            <w:tabs>
              <w:tab w:val="right" w:leader="dot" w:pos="9071"/>
            </w:tabs>
          </w:pPr>
          <w:r>
            <w:rPr>
              <w:color w:val="auto"/>
              <w:highlight w:val="none"/>
            </w:rPr>
            <w:fldChar w:fldCharType="begin"/>
          </w:r>
          <w:r>
            <w:rPr>
              <w:highlight w:val="none"/>
            </w:rPr>
            <w:instrText xml:space="preserve"> HYPERLINK \l _Toc32706 </w:instrText>
          </w:r>
          <w:r>
            <w:rPr>
              <w:highlight w:val="none"/>
            </w:rPr>
            <w:fldChar w:fldCharType="separate"/>
          </w:r>
          <w:r>
            <w:rPr>
              <w:rFonts w:hint="eastAsia" w:ascii="宋体" w:hAnsi="宋体" w:eastAsia="宋体" w:cs="宋体"/>
              <w:bCs/>
              <w:szCs w:val="24"/>
              <w:highlight w:val="none"/>
              <w:lang w:eastAsia="zh-CN"/>
            </w:rPr>
            <w:t>四、</w:t>
          </w:r>
          <w:r>
            <w:rPr>
              <w:rFonts w:hint="eastAsia" w:ascii="宋体" w:hAnsi="宋体" w:eastAsia="宋体" w:cs="宋体"/>
              <w:bCs/>
              <w:szCs w:val="24"/>
              <w:highlight w:val="none"/>
            </w:rPr>
            <w:t>废 标</w:t>
          </w:r>
          <w:r>
            <w:tab/>
          </w:r>
          <w:r>
            <w:fldChar w:fldCharType="begin"/>
          </w:r>
          <w:r>
            <w:instrText xml:space="preserve"> PAGEREF _Toc32706 \h </w:instrText>
          </w:r>
          <w:r>
            <w:fldChar w:fldCharType="separate"/>
          </w:r>
          <w:r>
            <w:t>47</w:t>
          </w:r>
          <w:r>
            <w:fldChar w:fldCharType="end"/>
          </w:r>
          <w:r>
            <w:rPr>
              <w:color w:val="auto"/>
              <w:highlight w:val="none"/>
            </w:rPr>
            <w:fldChar w:fldCharType="end"/>
          </w:r>
        </w:p>
        <w:p>
          <w:pPr>
            <w:pStyle w:val="14"/>
            <w:tabs>
              <w:tab w:val="right" w:leader="dot" w:pos="9071"/>
            </w:tabs>
          </w:pPr>
          <w:r>
            <w:rPr>
              <w:color w:val="auto"/>
              <w:highlight w:val="none"/>
            </w:rPr>
            <w:fldChar w:fldCharType="begin"/>
          </w:r>
          <w:r>
            <w:rPr>
              <w:highlight w:val="none"/>
            </w:rPr>
            <w:instrText xml:space="preserve"> HYPERLINK \l _Toc32237 </w:instrText>
          </w:r>
          <w:r>
            <w:rPr>
              <w:highlight w:val="none"/>
            </w:rPr>
            <w:fldChar w:fldCharType="separate"/>
          </w:r>
          <w:r>
            <w:rPr>
              <w:rFonts w:hint="eastAsia" w:ascii="宋体" w:hAnsi="宋体" w:eastAsia="宋体" w:cs="宋体"/>
              <w:bCs/>
              <w:szCs w:val="24"/>
              <w:highlight w:val="none"/>
              <w:lang w:eastAsia="zh-CN"/>
            </w:rPr>
            <w:t>五、</w:t>
          </w:r>
          <w:r>
            <w:rPr>
              <w:rFonts w:hint="eastAsia" w:ascii="宋体" w:hAnsi="宋体" w:eastAsia="宋体" w:cs="宋体"/>
              <w:bCs/>
              <w:szCs w:val="24"/>
              <w:highlight w:val="none"/>
            </w:rPr>
            <w:t>定标</w:t>
          </w:r>
          <w:r>
            <w:tab/>
          </w:r>
          <w:r>
            <w:fldChar w:fldCharType="begin"/>
          </w:r>
          <w:r>
            <w:instrText xml:space="preserve"> PAGEREF _Toc32237 \h </w:instrText>
          </w:r>
          <w:r>
            <w:fldChar w:fldCharType="separate"/>
          </w:r>
          <w:r>
            <w:t>48</w:t>
          </w:r>
          <w:r>
            <w:fldChar w:fldCharType="end"/>
          </w:r>
          <w:r>
            <w:rPr>
              <w:color w:val="auto"/>
              <w:highlight w:val="none"/>
            </w:rPr>
            <w:fldChar w:fldCharType="end"/>
          </w:r>
        </w:p>
        <w:p>
          <w:pPr>
            <w:pStyle w:val="14"/>
            <w:tabs>
              <w:tab w:val="right" w:leader="dot" w:pos="9071"/>
            </w:tabs>
          </w:pPr>
          <w:r>
            <w:rPr>
              <w:color w:val="auto"/>
              <w:highlight w:val="none"/>
            </w:rPr>
            <w:fldChar w:fldCharType="begin"/>
          </w:r>
          <w:r>
            <w:rPr>
              <w:highlight w:val="none"/>
            </w:rPr>
            <w:instrText xml:space="preserve"> HYPERLINK \l _Toc31384 </w:instrText>
          </w:r>
          <w:r>
            <w:rPr>
              <w:highlight w:val="none"/>
            </w:rPr>
            <w:fldChar w:fldCharType="separate"/>
          </w:r>
          <w:r>
            <w:rPr>
              <w:rFonts w:hint="eastAsia" w:ascii="宋体" w:hAnsi="宋体" w:eastAsia="宋体" w:cs="宋体"/>
              <w:bCs/>
              <w:szCs w:val="24"/>
              <w:highlight w:val="none"/>
              <w:lang w:eastAsia="zh-CN"/>
            </w:rPr>
            <w:t>六、</w:t>
          </w:r>
          <w:r>
            <w:rPr>
              <w:rFonts w:hint="eastAsia" w:ascii="宋体" w:hAnsi="宋体" w:eastAsia="宋体" w:cs="宋体"/>
              <w:bCs/>
              <w:szCs w:val="24"/>
              <w:highlight w:val="none"/>
            </w:rPr>
            <w:t>评标专家在采购活动中承担以下义务：</w:t>
          </w:r>
          <w:r>
            <w:tab/>
          </w:r>
          <w:r>
            <w:fldChar w:fldCharType="begin"/>
          </w:r>
          <w:r>
            <w:instrText xml:space="preserve"> PAGEREF _Toc31384 \h </w:instrText>
          </w:r>
          <w:r>
            <w:fldChar w:fldCharType="separate"/>
          </w:r>
          <w:r>
            <w:t>48</w:t>
          </w:r>
          <w:r>
            <w:fldChar w:fldCharType="end"/>
          </w:r>
          <w:r>
            <w:rPr>
              <w:color w:val="auto"/>
              <w:highlight w:val="none"/>
            </w:rPr>
            <w:fldChar w:fldCharType="end"/>
          </w:r>
        </w:p>
        <w:p>
          <w:pPr>
            <w:pStyle w:val="14"/>
            <w:tabs>
              <w:tab w:val="right" w:leader="dot" w:pos="9071"/>
            </w:tabs>
          </w:pPr>
          <w:r>
            <w:rPr>
              <w:color w:val="auto"/>
              <w:highlight w:val="none"/>
            </w:rPr>
            <w:fldChar w:fldCharType="begin"/>
          </w:r>
          <w:r>
            <w:rPr>
              <w:highlight w:val="none"/>
            </w:rPr>
            <w:instrText xml:space="preserve"> HYPERLINK \l _Toc5511 </w:instrText>
          </w:r>
          <w:r>
            <w:rPr>
              <w:highlight w:val="none"/>
            </w:rPr>
            <w:fldChar w:fldCharType="separate"/>
          </w:r>
          <w:r>
            <w:rPr>
              <w:rFonts w:hint="eastAsia" w:ascii="宋体" w:hAnsi="宋体" w:eastAsia="宋体" w:cs="宋体"/>
              <w:bCs/>
              <w:szCs w:val="24"/>
              <w:highlight w:val="none"/>
              <w:lang w:eastAsia="zh-CN"/>
            </w:rPr>
            <w:t>七、</w:t>
          </w:r>
          <w:r>
            <w:rPr>
              <w:rFonts w:hint="eastAsia" w:ascii="宋体" w:hAnsi="宋体" w:eastAsia="宋体" w:cs="宋体"/>
              <w:bCs/>
              <w:szCs w:val="24"/>
              <w:highlight w:val="none"/>
            </w:rPr>
            <w:t>评标专家在采购活动中应当遵守以下工作纪律：</w:t>
          </w:r>
          <w:r>
            <w:tab/>
          </w:r>
          <w:r>
            <w:fldChar w:fldCharType="begin"/>
          </w:r>
          <w:r>
            <w:instrText xml:space="preserve"> PAGEREF _Toc5511 \h </w:instrText>
          </w:r>
          <w:r>
            <w:fldChar w:fldCharType="separate"/>
          </w:r>
          <w:r>
            <w:t>49</w:t>
          </w:r>
          <w:r>
            <w:fldChar w:fldCharType="end"/>
          </w:r>
          <w:r>
            <w:rPr>
              <w:color w:val="auto"/>
              <w:highlight w:val="none"/>
            </w:rPr>
            <w:fldChar w:fldCharType="end"/>
          </w:r>
        </w:p>
        <w:p>
          <w:pPr>
            <w:pStyle w:val="13"/>
            <w:tabs>
              <w:tab w:val="right" w:leader="dot" w:pos="9071"/>
            </w:tabs>
          </w:pPr>
          <w:r>
            <w:rPr>
              <w:color w:val="auto"/>
              <w:highlight w:val="none"/>
            </w:rPr>
            <w:fldChar w:fldCharType="begin"/>
          </w:r>
          <w:r>
            <w:rPr>
              <w:highlight w:val="none"/>
            </w:rPr>
            <w:instrText xml:space="preserve"> HYPERLINK \l _Toc28315 </w:instrText>
          </w:r>
          <w:r>
            <w:rPr>
              <w:highlight w:val="none"/>
            </w:rPr>
            <w:fldChar w:fldCharType="separate"/>
          </w:r>
          <w:r>
            <w:rPr>
              <w:rFonts w:hint="eastAsia" w:ascii="宋体" w:hAnsi="宋体" w:eastAsia="宋体" w:cs="宋体"/>
              <w:spacing w:val="11"/>
              <w:szCs w:val="36"/>
              <w:highlight w:val="none"/>
              <w14:textOutline w14:w="6540" w14:cap="sq" w14:cmpd="sng" w14:algn="ctr">
                <w14:solidFill>
                  <w14:srgbClr w14:val="000000"/>
                </w14:solidFill>
                <w14:prstDash w14:val="solid"/>
                <w14:bevel/>
              </w14:textOutline>
            </w:rPr>
            <w:t>第八章  合同主要条款</w:t>
          </w:r>
          <w:r>
            <w:tab/>
          </w:r>
          <w:r>
            <w:fldChar w:fldCharType="begin"/>
          </w:r>
          <w:r>
            <w:instrText xml:space="preserve"> PAGEREF _Toc28315 \h </w:instrText>
          </w:r>
          <w:r>
            <w:fldChar w:fldCharType="separate"/>
          </w:r>
          <w:r>
            <w:t>50</w:t>
          </w:r>
          <w:r>
            <w:fldChar w:fldCharType="end"/>
          </w:r>
          <w:r>
            <w:rPr>
              <w:color w:val="auto"/>
              <w:highlight w:val="none"/>
            </w:rPr>
            <w:fldChar w:fldCharType="end"/>
          </w:r>
        </w:p>
        <w:p>
          <w:pPr>
            <w:spacing w:line="240" w:lineRule="auto"/>
            <w:rPr>
              <w:color w:val="auto"/>
              <w:highlight w:val="none"/>
            </w:rPr>
          </w:pPr>
          <w:r>
            <w:rPr>
              <w:color w:val="auto"/>
              <w:highlight w:val="none"/>
            </w:rPr>
            <w:fldChar w:fldCharType="end"/>
          </w:r>
        </w:p>
      </w:sdtContent>
    </w:sdt>
    <w:p>
      <w:pPr>
        <w:spacing w:line="240" w:lineRule="auto"/>
        <w:rPr>
          <w:color w:val="auto"/>
          <w:highlight w:val="none"/>
        </w:rPr>
      </w:pPr>
    </w:p>
    <w:p>
      <w:pPr>
        <w:spacing w:line="240" w:lineRule="auto"/>
        <w:rPr>
          <w:rFonts w:hint="eastAsia" w:ascii="宋体" w:hAnsi="宋体" w:eastAsia="宋体" w:cs="宋体"/>
          <w:color w:val="auto"/>
          <w:spacing w:val="11"/>
          <w:sz w:val="36"/>
          <w:szCs w:val="36"/>
          <w:highlight w:val="none"/>
          <w14:textOutline w14:w="6540" w14:cap="sq" w14:cmpd="sng" w14:algn="ctr">
            <w14:solidFill>
              <w14:srgbClr w14:val="000000"/>
            </w14:solidFill>
            <w14:prstDash w14:val="solid"/>
            <w14:bevel/>
          </w14:textOutline>
        </w:rPr>
      </w:pPr>
      <w:r>
        <w:rPr>
          <w:rFonts w:hint="eastAsia" w:ascii="宋体" w:hAnsi="宋体" w:eastAsia="宋体" w:cs="宋体"/>
          <w:color w:val="auto"/>
          <w:spacing w:val="11"/>
          <w:sz w:val="36"/>
          <w:szCs w:val="36"/>
          <w:highlight w:val="none"/>
          <w14:textOutline w14:w="6540" w14:cap="sq" w14:cmpd="sng" w14:algn="ctr">
            <w14:solidFill>
              <w14:srgbClr w14:val="000000"/>
            </w14:solidFill>
            <w14:prstDash w14:val="solid"/>
            <w14:bevel/>
          </w14:textOutline>
        </w:rPr>
        <w:br w:type="page"/>
      </w:r>
    </w:p>
    <w:p>
      <w:pPr>
        <w:spacing w:before="114" w:line="240" w:lineRule="auto"/>
        <w:jc w:val="center"/>
        <w:outlineLvl w:val="0"/>
        <w:rPr>
          <w:rFonts w:ascii="宋体" w:hAnsi="宋体" w:eastAsia="宋体" w:cs="宋体"/>
          <w:color w:val="auto"/>
          <w:sz w:val="36"/>
          <w:szCs w:val="36"/>
          <w:highlight w:val="none"/>
        </w:rPr>
      </w:pPr>
      <w:bookmarkStart w:id="2" w:name="_Toc3463"/>
      <w:r>
        <w:rPr>
          <w:rFonts w:hint="eastAsia" w:ascii="宋体" w:hAnsi="宋体" w:eastAsia="宋体" w:cs="宋体"/>
          <w:color w:val="auto"/>
          <w:spacing w:val="11"/>
          <w:sz w:val="36"/>
          <w:szCs w:val="36"/>
          <w:highlight w:val="none"/>
          <w14:textOutline w14:w="6540" w14:cap="sq" w14:cmpd="sng" w14:algn="ctr">
            <w14:solidFill>
              <w14:srgbClr w14:val="000000"/>
            </w14:solidFill>
            <w14:prstDash w14:val="solid"/>
            <w14:bevel/>
          </w14:textOutline>
        </w:rPr>
        <w:t>第</w:t>
      </w:r>
      <w:r>
        <w:rPr>
          <w:rFonts w:hint="eastAsia" w:ascii="宋体" w:hAnsi="宋体" w:eastAsia="宋体" w:cs="宋体"/>
          <w:color w:val="auto"/>
          <w:spacing w:val="8"/>
          <w:sz w:val="36"/>
          <w:szCs w:val="36"/>
          <w:highlight w:val="none"/>
          <w14:textOutline w14:w="6540" w14:cap="sq" w14:cmpd="sng" w14:algn="ctr">
            <w14:solidFill>
              <w14:srgbClr w14:val="000000"/>
            </w14:solidFill>
            <w14:prstDash w14:val="solid"/>
            <w14:bevel/>
          </w14:textOutline>
        </w:rPr>
        <w:t>一章</w:t>
      </w:r>
      <w:r>
        <w:rPr>
          <w:rFonts w:hint="eastAsia" w:ascii="宋体" w:hAnsi="宋体" w:eastAsia="宋体" w:cs="宋体"/>
          <w:color w:val="auto"/>
          <w:spacing w:val="8"/>
          <w:sz w:val="36"/>
          <w:szCs w:val="36"/>
          <w:highlight w:val="none"/>
        </w:rPr>
        <w:t xml:space="preserve">  </w:t>
      </w:r>
      <w:r>
        <w:rPr>
          <w:rFonts w:hint="eastAsia" w:ascii="宋体" w:hAnsi="宋体" w:eastAsia="宋体" w:cs="宋体"/>
          <w:color w:val="auto"/>
          <w:spacing w:val="8"/>
          <w:sz w:val="36"/>
          <w:szCs w:val="36"/>
          <w:highlight w:val="none"/>
          <w14:textOutline w14:w="6540" w14:cap="sq" w14:cmpd="sng" w14:algn="ctr">
            <w14:solidFill>
              <w14:srgbClr w14:val="000000"/>
            </w14:solidFill>
            <w14:prstDash w14:val="solid"/>
            <w14:bevel/>
          </w14:textOutline>
        </w:rPr>
        <w:t>投标邀请</w:t>
      </w:r>
      <w:bookmarkEnd w:id="2"/>
    </w:p>
    <w:p>
      <w:pPr>
        <w:spacing w:line="240" w:lineRule="auto"/>
        <w:rPr>
          <w:color w:val="auto"/>
          <w:highlight w:val="none"/>
        </w:rPr>
      </w:pPr>
    </w:p>
    <w:p>
      <w:pPr>
        <w:spacing w:line="240" w:lineRule="auto"/>
        <w:rPr>
          <w:color w:val="auto"/>
          <w:highlight w:val="none"/>
        </w:rPr>
      </w:pPr>
    </w:p>
    <w:p>
      <w:pPr>
        <w:spacing w:line="240" w:lineRule="auto"/>
        <w:ind w:firstLine="482" w:firstLineChars="200"/>
        <w:rPr>
          <w:rFonts w:ascii="宋体" w:hAnsi="宋体" w:eastAsia="宋体" w:cs="宋体"/>
          <w:color w:val="auto"/>
          <w:sz w:val="24"/>
          <w:szCs w:val="24"/>
          <w:highlight w:val="none"/>
        </w:rPr>
      </w:pPr>
      <w:r>
        <w:rPr>
          <w:rFonts w:hint="eastAsia" w:ascii="宋体" w:hAnsi="宋体" w:eastAsia="宋体" w:cs="宋体"/>
          <w:b/>
          <w:bCs/>
          <w:color w:val="auto"/>
          <w:sz w:val="24"/>
          <w:szCs w:val="24"/>
          <w:highlight w:val="none"/>
          <w:u w:val="single"/>
          <w:lang w:eastAsia="zh-CN"/>
        </w:rPr>
        <w:t>四川铭信工程招标咨询有限公司</w:t>
      </w:r>
      <w:r>
        <w:rPr>
          <w:rFonts w:ascii="宋体" w:hAnsi="宋体" w:eastAsia="宋体" w:cs="宋体"/>
          <w:color w:val="auto"/>
          <w:sz w:val="24"/>
          <w:szCs w:val="24"/>
          <w:highlight w:val="none"/>
        </w:rPr>
        <w:t>受</w:t>
      </w:r>
      <w:r>
        <w:rPr>
          <w:rFonts w:hint="eastAsia" w:ascii="宋体" w:hAnsi="宋体" w:eastAsia="宋体" w:cs="宋体"/>
          <w:b/>
          <w:bCs/>
          <w:color w:val="auto"/>
          <w:sz w:val="24"/>
          <w:szCs w:val="24"/>
          <w:highlight w:val="none"/>
          <w:u w:val="single"/>
          <w:lang w:eastAsia="zh-CN"/>
        </w:rPr>
        <w:t>成都市技师学院</w:t>
      </w:r>
      <w:r>
        <w:rPr>
          <w:rFonts w:ascii="宋体" w:hAnsi="宋体" w:eastAsia="宋体" w:cs="宋体"/>
          <w:color w:val="auto"/>
          <w:sz w:val="24"/>
          <w:szCs w:val="24"/>
          <w:highlight w:val="none"/>
        </w:rPr>
        <w:t>委托，拟对</w:t>
      </w:r>
      <w:r>
        <w:rPr>
          <w:rFonts w:hint="eastAsia" w:ascii="宋体" w:hAnsi="宋体" w:eastAsia="宋体" w:cs="宋体"/>
          <w:b/>
          <w:bCs/>
          <w:color w:val="auto"/>
          <w:sz w:val="24"/>
          <w:szCs w:val="24"/>
          <w:highlight w:val="none"/>
          <w:u w:val="single"/>
          <w:lang w:eastAsia="zh-CN"/>
        </w:rPr>
        <w:t>成都市技师学院（成都工贸职业技术学院）2024级学生军训服采购项目</w:t>
      </w:r>
      <w:r>
        <w:rPr>
          <w:rFonts w:ascii="宋体" w:hAnsi="宋体" w:eastAsia="宋体" w:cs="宋体"/>
          <w:color w:val="auto"/>
          <w:sz w:val="24"/>
          <w:szCs w:val="24"/>
          <w:highlight w:val="none"/>
        </w:rPr>
        <w:t>进行国内公开招标，兹邀请符合本次招标要求的</w:t>
      </w:r>
      <w:r>
        <w:rPr>
          <w:rFonts w:hint="eastAsia" w:ascii="宋体" w:hAnsi="宋体" w:eastAsia="宋体" w:cs="宋体"/>
          <w:color w:val="auto"/>
          <w:sz w:val="24"/>
          <w:szCs w:val="24"/>
          <w:highlight w:val="none"/>
          <w:lang w:eastAsia="zh-CN"/>
        </w:rPr>
        <w:t>招标人</w:t>
      </w:r>
      <w:r>
        <w:rPr>
          <w:rFonts w:ascii="宋体" w:hAnsi="宋体" w:eastAsia="宋体" w:cs="宋体"/>
          <w:color w:val="auto"/>
          <w:sz w:val="24"/>
          <w:szCs w:val="24"/>
          <w:highlight w:val="none"/>
        </w:rPr>
        <w:t>参加投标。</w:t>
      </w:r>
    </w:p>
    <w:p>
      <w:pPr>
        <w:spacing w:line="240" w:lineRule="auto"/>
        <w:ind w:firstLine="482" w:firstLineChars="200"/>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xml:space="preserve">一、招标编号：SCMX-SC-2024-1071 </w:t>
      </w:r>
    </w:p>
    <w:p>
      <w:pPr>
        <w:spacing w:line="240" w:lineRule="auto"/>
        <w:ind w:firstLine="482" w:firstLineChars="200"/>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rPr>
        <w:t>二、招标项目：</w:t>
      </w:r>
      <w:r>
        <w:rPr>
          <w:rFonts w:hint="eastAsia" w:ascii="宋体" w:hAnsi="宋体" w:eastAsia="宋体" w:cs="宋体"/>
          <w:b/>
          <w:bCs/>
          <w:color w:val="auto"/>
          <w:sz w:val="24"/>
          <w:szCs w:val="24"/>
          <w:highlight w:val="none"/>
          <w:lang w:eastAsia="zh-CN"/>
        </w:rPr>
        <w:t>成都市技师学院（成都工贸职业技术学院）2024级学生军训服采购项目。</w:t>
      </w:r>
    </w:p>
    <w:p>
      <w:pPr>
        <w:spacing w:line="240" w:lineRule="auto"/>
        <w:ind w:firstLine="482" w:firstLineChars="200"/>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三、</w:t>
      </w:r>
      <w:r>
        <w:rPr>
          <w:rFonts w:hint="eastAsia" w:ascii="宋体" w:hAnsi="宋体" w:eastAsia="宋体" w:cs="宋体"/>
          <w:b/>
          <w:bCs/>
          <w:color w:val="auto"/>
          <w:sz w:val="24"/>
          <w:szCs w:val="24"/>
          <w:highlight w:val="none"/>
          <w:lang w:val="en-US" w:eastAsia="zh-CN"/>
        </w:rPr>
        <w:t>最高限价</w:t>
      </w:r>
      <w:r>
        <w:rPr>
          <w:rFonts w:hint="eastAsia" w:ascii="宋体" w:hAnsi="宋体" w:eastAsia="宋体" w:cs="宋体"/>
          <w:b/>
          <w:bCs/>
          <w:color w:val="auto"/>
          <w:sz w:val="24"/>
          <w:szCs w:val="24"/>
          <w:highlight w:val="none"/>
        </w:rPr>
        <w:t>：学生自费，单价最高限价为</w:t>
      </w:r>
      <w:r>
        <w:rPr>
          <w:rFonts w:hint="eastAsia" w:ascii="宋体" w:hAnsi="宋体" w:eastAsia="宋体" w:cs="宋体"/>
          <w:b/>
          <w:bCs/>
          <w:color w:val="auto"/>
          <w:sz w:val="24"/>
          <w:szCs w:val="24"/>
          <w:highlight w:val="none"/>
          <w:lang w:val="en-US" w:eastAsia="zh-CN"/>
        </w:rPr>
        <w:t>120元/套</w:t>
      </w:r>
      <w:r>
        <w:rPr>
          <w:rFonts w:hint="eastAsia" w:ascii="宋体" w:hAnsi="宋体" w:eastAsia="宋体" w:cs="宋体"/>
          <w:b/>
          <w:bCs/>
          <w:color w:val="auto"/>
          <w:sz w:val="24"/>
          <w:szCs w:val="24"/>
          <w:highlight w:val="none"/>
        </w:rPr>
        <w:t>。投标人在单价最高限价的基础上进行整体下浮报价，报价不得为负数，否则将被作无效</w:t>
      </w:r>
      <w:r>
        <w:rPr>
          <w:rFonts w:hint="eastAsia" w:ascii="宋体" w:hAnsi="宋体" w:eastAsia="宋体" w:cs="宋体"/>
          <w:b/>
          <w:bCs/>
          <w:color w:val="auto"/>
          <w:sz w:val="24"/>
          <w:szCs w:val="24"/>
          <w:highlight w:val="none"/>
          <w:lang w:val="en-US" w:eastAsia="zh-CN"/>
        </w:rPr>
        <w:t>投标</w:t>
      </w:r>
      <w:r>
        <w:rPr>
          <w:rFonts w:hint="eastAsia" w:ascii="宋体" w:hAnsi="宋体" w:eastAsia="宋体" w:cs="宋体"/>
          <w:b/>
          <w:bCs/>
          <w:color w:val="auto"/>
          <w:sz w:val="24"/>
          <w:szCs w:val="24"/>
          <w:highlight w:val="none"/>
        </w:rPr>
        <w:t>处理。</w:t>
      </w:r>
    </w:p>
    <w:p>
      <w:pPr>
        <w:spacing w:line="240" w:lineRule="auto"/>
        <w:ind w:firstLine="482" w:firstLineChars="200"/>
        <w:rPr>
          <w:rFonts w:hint="default"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rPr>
        <w:t>四、招标项目简介：</w:t>
      </w:r>
      <w:r>
        <w:rPr>
          <w:rFonts w:hint="eastAsia" w:ascii="宋体" w:hAnsi="宋体" w:eastAsia="宋体" w:cs="宋体"/>
          <w:b/>
          <w:bCs/>
          <w:color w:val="auto"/>
          <w:sz w:val="24"/>
          <w:szCs w:val="24"/>
          <w:highlight w:val="none"/>
          <w:lang w:val="en-US" w:eastAsia="zh-CN"/>
        </w:rPr>
        <w:t>本项目拟采购一名供应商为成都市技师学院（成都工贸职业技术学院）2024级新生提供军训服。涉及军训的有四个校区（郫都校区、郫都西校区、新都校区、成华校区）。招标人计划招生约为：5000人，其中中职1200人，高职:3800人（最终以实际招生为准）。</w:t>
      </w:r>
    </w:p>
    <w:p>
      <w:pPr>
        <w:spacing w:line="240" w:lineRule="auto"/>
        <w:ind w:firstLine="482" w:firstLineChars="200"/>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五、</w:t>
      </w:r>
      <w:r>
        <w:rPr>
          <w:rFonts w:hint="eastAsia" w:ascii="宋体" w:hAnsi="宋体" w:eastAsia="宋体" w:cs="宋体"/>
          <w:b/>
          <w:bCs/>
          <w:color w:val="auto"/>
          <w:sz w:val="24"/>
          <w:szCs w:val="24"/>
          <w:highlight w:val="none"/>
          <w:lang w:eastAsia="zh-CN"/>
        </w:rPr>
        <w:t>招标人</w:t>
      </w:r>
      <w:r>
        <w:rPr>
          <w:rFonts w:hint="eastAsia" w:ascii="宋体" w:hAnsi="宋体" w:eastAsia="宋体" w:cs="宋体"/>
          <w:b/>
          <w:bCs/>
          <w:color w:val="auto"/>
          <w:sz w:val="24"/>
          <w:szCs w:val="24"/>
          <w:highlight w:val="none"/>
        </w:rPr>
        <w:t>参加本次采购活动，应当在提交投标文件前具备下列条件：</w:t>
      </w:r>
    </w:p>
    <w:p>
      <w:pPr>
        <w:spacing w:line="240" w:lineRule="auto"/>
        <w:ind w:firstLine="480" w:firstLineChars="200"/>
        <w:rPr>
          <w:rFonts w:ascii="宋体" w:hAnsi="宋体" w:eastAsia="宋体" w:cs="宋体"/>
          <w:color w:val="auto"/>
          <w:sz w:val="24"/>
          <w:szCs w:val="24"/>
          <w:highlight w:val="none"/>
        </w:rPr>
      </w:pPr>
      <w:bookmarkStart w:id="3" w:name="_Toc823"/>
      <w:r>
        <w:rPr>
          <w:rFonts w:ascii="宋体" w:hAnsi="宋体" w:eastAsia="宋体" w:cs="宋体"/>
          <w:color w:val="auto"/>
          <w:position w:val="1"/>
          <w:sz w:val="24"/>
          <w:szCs w:val="24"/>
          <w:highlight w:val="none"/>
        </w:rPr>
        <w:t>1、满足《中华人民共和国政府采购法》第二十二条规定；</w:t>
      </w:r>
      <w:bookmarkEnd w:id="3"/>
    </w:p>
    <w:p>
      <w:pPr>
        <w:spacing w:line="240" w:lineRule="auto"/>
        <w:ind w:firstLine="480" w:firstLineChars="200"/>
        <w:rPr>
          <w:rFonts w:hint="default"/>
          <w:color w:val="auto"/>
          <w:highlight w:val="none"/>
          <w:lang w:val="en-US" w:eastAsia="zh-CN"/>
        </w:rPr>
      </w:pPr>
      <w:r>
        <w:rPr>
          <w:rFonts w:hint="eastAsia" w:ascii="宋体" w:hAnsi="宋体" w:eastAsia="宋体" w:cs="宋体"/>
          <w:color w:val="auto"/>
          <w:sz w:val="24"/>
          <w:szCs w:val="24"/>
          <w:highlight w:val="none"/>
          <w:lang w:val="en-US" w:eastAsia="zh-CN"/>
        </w:rPr>
        <w:t>2</w:t>
      </w:r>
      <w:r>
        <w:rPr>
          <w:rFonts w:ascii="宋体" w:hAnsi="宋体" w:eastAsia="宋体" w:cs="宋体"/>
          <w:color w:val="auto"/>
          <w:sz w:val="24"/>
          <w:szCs w:val="24"/>
          <w:highlight w:val="none"/>
        </w:rPr>
        <w:t>、</w:t>
      </w:r>
      <w:bookmarkStart w:id="4" w:name="_Toc17420"/>
      <w:r>
        <w:rPr>
          <w:rFonts w:hint="eastAsia" w:ascii="宋体" w:hAnsi="宋体" w:eastAsia="宋体" w:cs="宋体"/>
          <w:color w:val="auto"/>
          <w:sz w:val="24"/>
          <w:szCs w:val="24"/>
          <w:highlight w:val="none"/>
        </w:rPr>
        <w:t>本项目不接受联合体投标</w:t>
      </w:r>
      <w:bookmarkEnd w:id="4"/>
      <w:r>
        <w:rPr>
          <w:rFonts w:hint="eastAsia" w:ascii="宋体" w:hAnsi="宋体" w:eastAsia="宋体" w:cs="宋体"/>
          <w:color w:val="auto"/>
          <w:sz w:val="24"/>
          <w:szCs w:val="24"/>
          <w:highlight w:val="none"/>
          <w:lang w:eastAsia="zh-CN"/>
        </w:rPr>
        <w:t>；</w:t>
      </w:r>
    </w:p>
    <w:p>
      <w:pPr>
        <w:spacing w:line="240" w:lineRule="auto"/>
        <w:ind w:firstLine="482" w:firstLineChars="200"/>
        <w:rPr>
          <w:rFonts w:hint="eastAsia" w:ascii="宋体" w:hAnsi="宋体" w:eastAsia="宋体" w:cs="宋体"/>
          <w:b/>
          <w:bCs/>
          <w:color w:val="auto"/>
          <w:sz w:val="24"/>
          <w:szCs w:val="24"/>
          <w:highlight w:val="none"/>
          <w:lang w:eastAsia="zh-CN"/>
        </w:rPr>
      </w:pPr>
      <w:bookmarkStart w:id="5" w:name="_Toc13310"/>
      <w:r>
        <w:rPr>
          <w:rFonts w:hint="eastAsia" w:ascii="宋体" w:hAnsi="宋体" w:eastAsia="宋体" w:cs="宋体"/>
          <w:b/>
          <w:bCs/>
          <w:color w:val="auto"/>
          <w:sz w:val="24"/>
          <w:szCs w:val="24"/>
          <w:highlight w:val="none"/>
        </w:rPr>
        <w:t>六、严禁参加本次</w:t>
      </w:r>
      <w:r>
        <w:rPr>
          <w:rFonts w:hint="eastAsia" w:ascii="宋体" w:hAnsi="宋体" w:eastAsia="宋体" w:cs="宋体"/>
          <w:b/>
          <w:bCs/>
          <w:color w:val="auto"/>
          <w:sz w:val="24"/>
          <w:szCs w:val="24"/>
          <w:highlight w:val="none"/>
          <w:lang w:eastAsia="zh-CN"/>
        </w:rPr>
        <w:t>招标</w:t>
      </w:r>
      <w:r>
        <w:rPr>
          <w:rFonts w:hint="eastAsia" w:ascii="宋体" w:hAnsi="宋体" w:eastAsia="宋体" w:cs="宋体"/>
          <w:b/>
          <w:bCs/>
          <w:color w:val="auto"/>
          <w:sz w:val="24"/>
          <w:szCs w:val="24"/>
          <w:highlight w:val="none"/>
        </w:rPr>
        <w:t>活动的</w:t>
      </w:r>
      <w:bookmarkEnd w:id="5"/>
      <w:r>
        <w:rPr>
          <w:rFonts w:hint="eastAsia" w:ascii="宋体" w:hAnsi="宋体" w:eastAsia="宋体" w:cs="宋体"/>
          <w:b/>
          <w:bCs/>
          <w:color w:val="auto"/>
          <w:sz w:val="24"/>
          <w:szCs w:val="24"/>
          <w:highlight w:val="none"/>
          <w:lang w:eastAsia="zh-CN"/>
        </w:rPr>
        <w:t>投标人</w:t>
      </w:r>
    </w:p>
    <w:p>
      <w:pPr>
        <w:tabs>
          <w:tab w:val="left" w:pos="148"/>
        </w:tabs>
        <w:spacing w:line="240" w:lineRule="auto"/>
        <w:ind w:firstLine="480" w:firstLineChars="200"/>
        <w:jc w:val="both"/>
        <w:rPr>
          <w:rFonts w:ascii="宋体" w:hAnsi="宋体" w:eastAsia="宋体" w:cs="宋体"/>
          <w:color w:val="auto"/>
          <w:sz w:val="24"/>
          <w:szCs w:val="24"/>
          <w:highlight w:val="none"/>
        </w:rPr>
      </w:pPr>
      <w:r>
        <w:rPr>
          <w:rFonts w:ascii="宋体" w:hAnsi="宋体" w:eastAsia="宋体" w:cs="宋体"/>
          <w:color w:val="auto"/>
          <w:sz w:val="24"/>
          <w:szCs w:val="24"/>
          <w:highlight w:val="none"/>
        </w:rPr>
        <w:t>1.根据《关于在政府采购活动中查询及使用信用记录有关问题的通知》</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财库〔2016〕125号</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的要求，</w:t>
      </w:r>
      <w:r>
        <w:rPr>
          <w:rFonts w:hint="eastAsia" w:ascii="宋体" w:hAnsi="宋体" w:eastAsia="宋体" w:cs="宋体"/>
          <w:color w:val="auto"/>
          <w:sz w:val="24"/>
          <w:szCs w:val="24"/>
          <w:highlight w:val="none"/>
        </w:rPr>
        <w:t>招标代理机构</w:t>
      </w:r>
      <w:r>
        <w:rPr>
          <w:rFonts w:ascii="宋体" w:hAnsi="宋体" w:eastAsia="宋体" w:cs="宋体"/>
          <w:color w:val="auto"/>
          <w:sz w:val="24"/>
          <w:szCs w:val="24"/>
          <w:highlight w:val="none"/>
        </w:rPr>
        <w:t xml:space="preserve">将通过“信用中国”网站 </w:t>
      </w:r>
      <w:r>
        <w:rPr>
          <w:rFonts w:ascii="宋体" w:hAnsi="宋体" w:eastAsia="宋体" w:cs="宋体"/>
          <w:color w:val="auto"/>
          <w:sz w:val="24"/>
          <w:szCs w:val="24"/>
          <w:highlight w:val="none"/>
        </w:rPr>
        <w:tab/>
      </w:r>
      <w:r>
        <w:rPr>
          <w:rFonts w:ascii="宋体" w:hAnsi="宋体" w:eastAsia="宋体" w:cs="宋体"/>
          <w:color w:val="auto"/>
          <w:sz w:val="24"/>
          <w:szCs w:val="24"/>
          <w:highlight w:val="none"/>
        </w:rPr>
        <w:t>(www.creditchina.gov.cn) 、“中国政府采购网”网站 (www.ccgp.gov.cn</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等渠道查询</w:t>
      </w:r>
      <w:r>
        <w:rPr>
          <w:rFonts w:hint="eastAsia" w:ascii="宋体" w:hAnsi="宋体" w:eastAsia="宋体" w:cs="宋体"/>
          <w:color w:val="auto"/>
          <w:sz w:val="24"/>
          <w:szCs w:val="24"/>
          <w:highlight w:val="none"/>
          <w:lang w:eastAsia="zh-CN"/>
        </w:rPr>
        <w:t>投标人</w:t>
      </w:r>
      <w:r>
        <w:rPr>
          <w:rFonts w:ascii="宋体" w:hAnsi="宋体" w:eastAsia="宋体" w:cs="宋体"/>
          <w:color w:val="auto"/>
          <w:sz w:val="24"/>
          <w:szCs w:val="24"/>
          <w:highlight w:val="none"/>
        </w:rPr>
        <w:t>在递交投标文件截止之日的信用记录并保存信用记录结果网页截图，拒绝列入失信被执行人名单、重大税收违法案件当事人名单、政府采购严重违法失信行为记录名单中的</w:t>
      </w:r>
      <w:r>
        <w:rPr>
          <w:rFonts w:hint="eastAsia" w:ascii="宋体" w:hAnsi="宋体" w:eastAsia="宋体" w:cs="宋体"/>
          <w:color w:val="auto"/>
          <w:sz w:val="24"/>
          <w:szCs w:val="24"/>
          <w:highlight w:val="none"/>
          <w:lang w:eastAsia="zh-CN"/>
        </w:rPr>
        <w:t>投标人</w:t>
      </w:r>
      <w:r>
        <w:rPr>
          <w:rFonts w:ascii="宋体" w:hAnsi="宋体" w:eastAsia="宋体" w:cs="宋体"/>
          <w:color w:val="auto"/>
          <w:sz w:val="24"/>
          <w:szCs w:val="24"/>
          <w:highlight w:val="none"/>
        </w:rPr>
        <w:t>参加本项目的采购活动。</w:t>
      </w:r>
    </w:p>
    <w:p>
      <w:pPr>
        <w:tabs>
          <w:tab w:val="left" w:pos="148"/>
        </w:tabs>
        <w:spacing w:line="240" w:lineRule="auto"/>
        <w:ind w:firstLine="480" w:firstLineChars="200"/>
        <w:jc w:val="both"/>
        <w:rPr>
          <w:rFonts w:ascii="宋体" w:hAnsi="宋体" w:eastAsia="宋体" w:cs="宋体"/>
          <w:color w:val="auto"/>
          <w:sz w:val="24"/>
          <w:szCs w:val="24"/>
          <w:highlight w:val="none"/>
        </w:rPr>
      </w:pPr>
      <w:r>
        <w:rPr>
          <w:rFonts w:ascii="宋体" w:hAnsi="宋体" w:eastAsia="宋体" w:cs="宋体"/>
          <w:color w:val="auto"/>
          <w:sz w:val="24"/>
          <w:szCs w:val="24"/>
          <w:highlight w:val="none"/>
        </w:rPr>
        <w:t>2.为</w:t>
      </w:r>
      <w:r>
        <w:rPr>
          <w:rFonts w:hint="eastAsia" w:ascii="宋体" w:hAnsi="宋体" w:eastAsia="宋体" w:cs="宋体"/>
          <w:color w:val="auto"/>
          <w:sz w:val="24"/>
          <w:szCs w:val="24"/>
          <w:highlight w:val="none"/>
          <w:lang w:eastAsia="zh-CN"/>
        </w:rPr>
        <w:t>招标</w:t>
      </w:r>
      <w:r>
        <w:rPr>
          <w:rFonts w:ascii="宋体" w:hAnsi="宋体" w:eastAsia="宋体" w:cs="宋体"/>
          <w:color w:val="auto"/>
          <w:sz w:val="24"/>
          <w:szCs w:val="24"/>
          <w:highlight w:val="none"/>
        </w:rPr>
        <w:t>项目提供整体设计、规范编制或者项目管理、监理、检测等服务的</w:t>
      </w:r>
      <w:r>
        <w:rPr>
          <w:rFonts w:hint="eastAsia" w:ascii="宋体" w:hAnsi="宋体" w:eastAsia="宋体" w:cs="宋体"/>
          <w:color w:val="auto"/>
          <w:sz w:val="24"/>
          <w:szCs w:val="24"/>
          <w:highlight w:val="none"/>
          <w:lang w:eastAsia="zh-CN"/>
        </w:rPr>
        <w:t>投标人</w:t>
      </w:r>
      <w:r>
        <w:rPr>
          <w:rFonts w:ascii="宋体" w:hAnsi="宋体" w:eastAsia="宋体" w:cs="宋体"/>
          <w:color w:val="auto"/>
          <w:sz w:val="24"/>
          <w:szCs w:val="24"/>
          <w:highlight w:val="none"/>
        </w:rPr>
        <w:t>，不得参加本采购项目。</w:t>
      </w:r>
      <w:r>
        <w:rPr>
          <w:rFonts w:hint="eastAsia" w:ascii="宋体" w:hAnsi="宋体" w:eastAsia="宋体" w:cs="宋体"/>
          <w:color w:val="auto"/>
          <w:sz w:val="24"/>
          <w:szCs w:val="24"/>
          <w:highlight w:val="none"/>
          <w:lang w:eastAsia="zh-CN"/>
        </w:rPr>
        <w:t>投标人</w:t>
      </w:r>
      <w:r>
        <w:rPr>
          <w:rFonts w:ascii="宋体" w:hAnsi="宋体" w:eastAsia="宋体" w:cs="宋体"/>
          <w:color w:val="auto"/>
          <w:sz w:val="24"/>
          <w:szCs w:val="24"/>
          <w:highlight w:val="none"/>
        </w:rPr>
        <w:t>为</w:t>
      </w:r>
      <w:r>
        <w:rPr>
          <w:rFonts w:hint="eastAsia" w:ascii="宋体" w:hAnsi="宋体" w:eastAsia="宋体" w:cs="宋体"/>
          <w:color w:val="auto"/>
          <w:sz w:val="24"/>
          <w:szCs w:val="24"/>
          <w:highlight w:val="none"/>
        </w:rPr>
        <w:t>招标人</w:t>
      </w:r>
      <w:r>
        <w:rPr>
          <w:rFonts w:ascii="宋体" w:hAnsi="宋体" w:eastAsia="宋体" w:cs="宋体"/>
          <w:color w:val="auto"/>
          <w:sz w:val="24"/>
          <w:szCs w:val="24"/>
          <w:highlight w:val="none"/>
        </w:rPr>
        <w:t>、</w:t>
      </w:r>
      <w:r>
        <w:rPr>
          <w:rFonts w:hint="eastAsia" w:ascii="宋体" w:hAnsi="宋体" w:eastAsia="宋体" w:cs="宋体"/>
          <w:color w:val="auto"/>
          <w:sz w:val="24"/>
          <w:szCs w:val="24"/>
          <w:highlight w:val="none"/>
        </w:rPr>
        <w:t>招标代理机构</w:t>
      </w:r>
      <w:r>
        <w:rPr>
          <w:rFonts w:ascii="宋体" w:hAnsi="宋体" w:eastAsia="宋体" w:cs="宋体"/>
          <w:color w:val="auto"/>
          <w:sz w:val="24"/>
          <w:szCs w:val="24"/>
          <w:highlight w:val="none"/>
        </w:rPr>
        <w:t>在确定采购需求、编制招标文件过程中提供咨询论证，其提供的咨询论证意见成为招标文件中规定的</w:t>
      </w:r>
      <w:r>
        <w:rPr>
          <w:rFonts w:hint="eastAsia" w:ascii="宋体" w:hAnsi="宋体" w:eastAsia="宋体" w:cs="宋体"/>
          <w:color w:val="auto"/>
          <w:sz w:val="24"/>
          <w:szCs w:val="24"/>
          <w:highlight w:val="none"/>
          <w:lang w:eastAsia="zh-CN"/>
        </w:rPr>
        <w:t>投标人</w:t>
      </w:r>
      <w:r>
        <w:rPr>
          <w:rFonts w:ascii="宋体" w:hAnsi="宋体" w:eastAsia="宋体" w:cs="宋体"/>
          <w:color w:val="auto"/>
          <w:sz w:val="24"/>
          <w:szCs w:val="24"/>
          <w:highlight w:val="none"/>
        </w:rPr>
        <w:t>资格条件、技术服务商务要求、评审因素和标准、采购合同等实质性内容条款的，视同为</w:t>
      </w:r>
      <w:r>
        <w:rPr>
          <w:rFonts w:hint="eastAsia" w:ascii="宋体" w:hAnsi="宋体" w:eastAsia="宋体" w:cs="宋体"/>
          <w:color w:val="auto"/>
          <w:sz w:val="24"/>
          <w:szCs w:val="24"/>
          <w:highlight w:val="none"/>
          <w:lang w:eastAsia="zh-CN"/>
        </w:rPr>
        <w:t>招标</w:t>
      </w:r>
      <w:r>
        <w:rPr>
          <w:rFonts w:ascii="宋体" w:hAnsi="宋体" w:eastAsia="宋体" w:cs="宋体"/>
          <w:color w:val="auto"/>
          <w:sz w:val="24"/>
          <w:szCs w:val="24"/>
          <w:highlight w:val="none"/>
        </w:rPr>
        <w:t>项目提供规范编制。</w:t>
      </w:r>
    </w:p>
    <w:p>
      <w:pPr>
        <w:spacing w:line="240" w:lineRule="auto"/>
        <w:ind w:firstLine="482" w:firstLineChars="200"/>
        <w:rPr>
          <w:rFonts w:ascii="宋体" w:hAnsi="宋体" w:eastAsia="宋体" w:cs="宋体"/>
          <w:b/>
          <w:bCs/>
          <w:color w:val="auto"/>
          <w:sz w:val="24"/>
          <w:szCs w:val="24"/>
          <w:highlight w:val="none"/>
        </w:rPr>
      </w:pPr>
      <w:bookmarkStart w:id="6" w:name="_Toc20036"/>
      <w:r>
        <w:rPr>
          <w:rFonts w:hint="eastAsia" w:ascii="宋体" w:hAnsi="宋体" w:eastAsia="宋体" w:cs="宋体"/>
          <w:b/>
          <w:bCs/>
          <w:color w:val="auto"/>
          <w:sz w:val="24"/>
          <w:szCs w:val="24"/>
          <w:highlight w:val="none"/>
        </w:rPr>
        <w:t>七、招标文件获取</w:t>
      </w:r>
      <w:bookmarkEnd w:id="6"/>
    </w:p>
    <w:p>
      <w:pPr>
        <w:tabs>
          <w:tab w:val="left" w:pos="148"/>
        </w:tabs>
        <w:spacing w:line="240" w:lineRule="auto"/>
        <w:ind w:firstLine="480" w:firstLineChars="20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w:t>
      </w:r>
      <w:r>
        <w:rPr>
          <w:rFonts w:hint="eastAsia" w:ascii="宋体" w:hAnsi="宋体" w:eastAsia="宋体" w:cs="宋体"/>
          <w:b w:val="0"/>
          <w:bCs w:val="0"/>
          <w:color w:val="auto"/>
          <w:sz w:val="24"/>
          <w:szCs w:val="24"/>
          <w:highlight w:val="none"/>
          <w:lang w:eastAsia="zh-CN"/>
        </w:rPr>
        <w:t>招标</w:t>
      </w:r>
      <w:r>
        <w:rPr>
          <w:rFonts w:hint="eastAsia" w:ascii="宋体" w:hAnsi="宋体" w:eastAsia="宋体" w:cs="宋体"/>
          <w:b w:val="0"/>
          <w:bCs w:val="0"/>
          <w:color w:val="auto"/>
          <w:sz w:val="24"/>
          <w:szCs w:val="24"/>
          <w:highlight w:val="none"/>
        </w:rPr>
        <w:t>文件自2024年</w:t>
      </w:r>
      <w:r>
        <w:rPr>
          <w:rFonts w:hint="eastAsia" w:ascii="宋体" w:hAnsi="宋体" w:eastAsia="宋体" w:cs="宋体"/>
          <w:b w:val="0"/>
          <w:bCs w:val="0"/>
          <w:color w:val="auto"/>
          <w:sz w:val="24"/>
          <w:szCs w:val="24"/>
          <w:highlight w:val="none"/>
          <w:lang w:val="en-US" w:eastAsia="zh-CN"/>
        </w:rPr>
        <w:t>7</w:t>
      </w:r>
      <w:r>
        <w:rPr>
          <w:rFonts w:hint="eastAsia" w:ascii="宋体" w:hAnsi="宋体" w:eastAsia="宋体" w:cs="宋体"/>
          <w:b w:val="0"/>
          <w:bCs w:val="0"/>
          <w:color w:val="auto"/>
          <w:sz w:val="24"/>
          <w:szCs w:val="24"/>
          <w:highlight w:val="none"/>
        </w:rPr>
        <w:t>月</w:t>
      </w:r>
      <w:r>
        <w:rPr>
          <w:rFonts w:hint="eastAsia" w:ascii="宋体" w:hAnsi="宋体" w:eastAsia="宋体" w:cs="宋体"/>
          <w:b w:val="0"/>
          <w:bCs w:val="0"/>
          <w:color w:val="auto"/>
          <w:sz w:val="24"/>
          <w:szCs w:val="24"/>
          <w:highlight w:val="none"/>
          <w:lang w:val="en-US" w:eastAsia="zh-CN"/>
        </w:rPr>
        <w:t>10</w:t>
      </w:r>
      <w:r>
        <w:rPr>
          <w:rFonts w:hint="eastAsia" w:ascii="宋体" w:hAnsi="宋体" w:eastAsia="宋体" w:cs="宋体"/>
          <w:b w:val="0"/>
          <w:bCs w:val="0"/>
          <w:color w:val="auto"/>
          <w:sz w:val="24"/>
          <w:szCs w:val="24"/>
          <w:highlight w:val="none"/>
        </w:rPr>
        <w:t>日至2024年</w:t>
      </w:r>
      <w:r>
        <w:rPr>
          <w:rFonts w:hint="eastAsia" w:ascii="宋体" w:hAnsi="宋体" w:eastAsia="宋体" w:cs="宋体"/>
          <w:b w:val="0"/>
          <w:bCs w:val="0"/>
          <w:color w:val="auto"/>
          <w:sz w:val="24"/>
          <w:szCs w:val="24"/>
          <w:highlight w:val="none"/>
          <w:lang w:val="en-US" w:eastAsia="zh-CN"/>
        </w:rPr>
        <w:t>7</w:t>
      </w:r>
      <w:r>
        <w:rPr>
          <w:rFonts w:hint="eastAsia" w:ascii="宋体" w:hAnsi="宋体" w:eastAsia="宋体" w:cs="宋体"/>
          <w:b w:val="0"/>
          <w:bCs w:val="0"/>
          <w:color w:val="auto"/>
          <w:sz w:val="24"/>
          <w:szCs w:val="24"/>
          <w:highlight w:val="none"/>
        </w:rPr>
        <w:t>月</w:t>
      </w:r>
      <w:r>
        <w:rPr>
          <w:rFonts w:hint="eastAsia" w:ascii="宋体" w:hAnsi="宋体" w:eastAsia="宋体" w:cs="宋体"/>
          <w:b w:val="0"/>
          <w:bCs w:val="0"/>
          <w:color w:val="auto"/>
          <w:sz w:val="24"/>
          <w:szCs w:val="24"/>
          <w:highlight w:val="none"/>
          <w:lang w:val="en-US" w:eastAsia="zh-CN"/>
        </w:rPr>
        <w:t>16</w:t>
      </w:r>
      <w:r>
        <w:rPr>
          <w:rFonts w:hint="eastAsia" w:ascii="宋体" w:hAnsi="宋体" w:eastAsia="宋体" w:cs="宋体"/>
          <w:b w:val="0"/>
          <w:bCs w:val="0"/>
          <w:color w:val="auto"/>
          <w:sz w:val="24"/>
          <w:szCs w:val="24"/>
          <w:highlight w:val="none"/>
        </w:rPr>
        <w:t>日9：00-12：00，14：00-17：00可通过邮件获取，</w:t>
      </w:r>
      <w:r>
        <w:rPr>
          <w:rFonts w:hint="eastAsia" w:ascii="宋体" w:hAnsi="宋体" w:eastAsia="宋体" w:cs="宋体"/>
          <w:b w:val="0"/>
          <w:bCs w:val="0"/>
          <w:color w:val="auto"/>
          <w:sz w:val="24"/>
          <w:szCs w:val="24"/>
          <w:highlight w:val="none"/>
          <w:lang w:eastAsia="zh-CN"/>
        </w:rPr>
        <w:t>招标</w:t>
      </w:r>
      <w:r>
        <w:rPr>
          <w:rFonts w:hint="eastAsia" w:ascii="宋体" w:hAnsi="宋体" w:eastAsia="宋体" w:cs="宋体"/>
          <w:b w:val="0"/>
          <w:bCs w:val="0"/>
          <w:color w:val="auto"/>
          <w:sz w:val="24"/>
          <w:szCs w:val="24"/>
          <w:highlight w:val="none"/>
        </w:rPr>
        <w:t>文件售价300元/份（</w:t>
      </w:r>
      <w:r>
        <w:rPr>
          <w:rFonts w:hint="eastAsia" w:ascii="宋体" w:hAnsi="宋体" w:eastAsia="宋体" w:cs="宋体"/>
          <w:b w:val="0"/>
          <w:bCs w:val="0"/>
          <w:color w:val="auto"/>
          <w:sz w:val="24"/>
          <w:szCs w:val="24"/>
          <w:highlight w:val="none"/>
          <w:lang w:eastAsia="zh-CN"/>
        </w:rPr>
        <w:t>招标</w:t>
      </w:r>
      <w:r>
        <w:rPr>
          <w:rFonts w:hint="eastAsia" w:ascii="宋体" w:hAnsi="宋体" w:eastAsia="宋体" w:cs="宋体"/>
          <w:b w:val="0"/>
          <w:bCs w:val="0"/>
          <w:color w:val="auto"/>
          <w:sz w:val="24"/>
          <w:szCs w:val="24"/>
          <w:highlight w:val="none"/>
        </w:rPr>
        <w:t>文件售后不退，</w:t>
      </w:r>
      <w:r>
        <w:rPr>
          <w:rFonts w:hint="eastAsia" w:ascii="宋体" w:hAnsi="宋体" w:eastAsia="宋体" w:cs="宋体"/>
          <w:b w:val="0"/>
          <w:bCs w:val="0"/>
          <w:color w:val="auto"/>
          <w:sz w:val="24"/>
          <w:szCs w:val="24"/>
          <w:highlight w:val="none"/>
          <w:lang w:eastAsia="zh-CN"/>
        </w:rPr>
        <w:t>投标</w:t>
      </w:r>
      <w:r>
        <w:rPr>
          <w:rFonts w:hint="eastAsia" w:ascii="宋体" w:hAnsi="宋体" w:eastAsia="宋体" w:cs="宋体"/>
          <w:b w:val="0"/>
          <w:bCs w:val="0"/>
          <w:color w:val="auto"/>
          <w:sz w:val="24"/>
          <w:szCs w:val="24"/>
          <w:highlight w:val="none"/>
        </w:rPr>
        <w:t>资格不能转让）。</w:t>
      </w:r>
    </w:p>
    <w:p>
      <w:pPr>
        <w:tabs>
          <w:tab w:val="left" w:pos="148"/>
        </w:tabs>
        <w:spacing w:line="240" w:lineRule="auto"/>
        <w:ind w:firstLine="480" w:firstLineChars="200"/>
        <w:rPr>
          <w:rFonts w:hint="eastAsia" w:ascii="宋体" w:hAnsi="宋体" w:eastAsia="宋体" w:cs="宋体"/>
          <w:b w:val="0"/>
          <w:bCs w:val="0"/>
          <w:color w:val="auto"/>
          <w:sz w:val="24"/>
          <w:szCs w:val="24"/>
          <w:highlight w:val="none"/>
        </w:rPr>
      </w:pPr>
      <w:bookmarkStart w:id="199" w:name="_GoBack"/>
      <w:bookmarkEnd w:id="199"/>
      <w:r>
        <w:rPr>
          <w:rFonts w:hint="eastAsia" w:ascii="宋体" w:hAnsi="宋体" w:eastAsia="宋体" w:cs="宋体"/>
          <w:b w:val="0"/>
          <w:bCs w:val="0"/>
          <w:color w:val="auto"/>
          <w:sz w:val="24"/>
          <w:szCs w:val="24"/>
          <w:highlight w:val="none"/>
        </w:rPr>
        <w:t>收款账号名称：四川铭信工程招标咨询有限公司</w:t>
      </w:r>
    </w:p>
    <w:p>
      <w:pPr>
        <w:tabs>
          <w:tab w:val="left" w:pos="148"/>
        </w:tabs>
        <w:spacing w:line="240" w:lineRule="auto"/>
        <w:ind w:firstLine="480" w:firstLineChars="20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开户行：四川银行股份有限公司成都天府广场支行</w:t>
      </w:r>
    </w:p>
    <w:p>
      <w:pPr>
        <w:tabs>
          <w:tab w:val="left" w:pos="148"/>
        </w:tabs>
        <w:spacing w:line="240" w:lineRule="auto"/>
        <w:ind w:firstLine="480" w:firstLineChars="20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银行账号：78220100072502592。</w:t>
      </w:r>
    </w:p>
    <w:p>
      <w:pPr>
        <w:tabs>
          <w:tab w:val="left" w:pos="148"/>
        </w:tabs>
        <w:spacing w:line="240" w:lineRule="auto"/>
        <w:ind w:firstLine="480" w:firstLineChars="20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2、获取</w:t>
      </w:r>
      <w:r>
        <w:rPr>
          <w:rFonts w:hint="eastAsia" w:ascii="宋体" w:hAnsi="宋体" w:eastAsia="宋体" w:cs="宋体"/>
          <w:b w:val="0"/>
          <w:bCs w:val="0"/>
          <w:color w:val="auto"/>
          <w:sz w:val="24"/>
          <w:szCs w:val="24"/>
          <w:highlight w:val="none"/>
          <w:lang w:eastAsia="zh-CN"/>
        </w:rPr>
        <w:t>招标</w:t>
      </w:r>
      <w:r>
        <w:rPr>
          <w:rFonts w:hint="eastAsia" w:ascii="宋体" w:hAnsi="宋体" w:eastAsia="宋体" w:cs="宋体"/>
          <w:b w:val="0"/>
          <w:bCs w:val="0"/>
          <w:color w:val="auto"/>
          <w:sz w:val="24"/>
          <w:szCs w:val="24"/>
          <w:highlight w:val="none"/>
        </w:rPr>
        <w:t>文件时将下列有效证明文件资料扫描发送至scmxgczx@163.com（邮箱名称）（邮件名称为XXXX公司XXX项目获取</w:t>
      </w:r>
      <w:r>
        <w:rPr>
          <w:rFonts w:hint="eastAsia" w:ascii="宋体" w:hAnsi="宋体" w:eastAsia="宋体" w:cs="宋体"/>
          <w:b w:val="0"/>
          <w:bCs w:val="0"/>
          <w:color w:val="auto"/>
          <w:sz w:val="24"/>
          <w:szCs w:val="24"/>
          <w:highlight w:val="none"/>
          <w:lang w:eastAsia="zh-CN"/>
        </w:rPr>
        <w:t>招标</w:t>
      </w:r>
      <w:r>
        <w:rPr>
          <w:rFonts w:hint="eastAsia" w:ascii="宋体" w:hAnsi="宋体" w:eastAsia="宋体" w:cs="宋体"/>
          <w:b w:val="0"/>
          <w:bCs w:val="0"/>
          <w:color w:val="auto"/>
          <w:sz w:val="24"/>
          <w:szCs w:val="24"/>
          <w:highlight w:val="none"/>
        </w:rPr>
        <w:t>文件资料）进行邮件获取，审核通过后获取</w:t>
      </w:r>
      <w:r>
        <w:rPr>
          <w:rFonts w:hint="eastAsia" w:ascii="宋体" w:hAnsi="宋体" w:eastAsia="宋体" w:cs="宋体"/>
          <w:b w:val="0"/>
          <w:bCs w:val="0"/>
          <w:color w:val="auto"/>
          <w:sz w:val="24"/>
          <w:szCs w:val="24"/>
          <w:highlight w:val="none"/>
          <w:lang w:eastAsia="zh-CN"/>
        </w:rPr>
        <w:t>招标</w:t>
      </w:r>
      <w:r>
        <w:rPr>
          <w:rFonts w:hint="eastAsia" w:ascii="宋体" w:hAnsi="宋体" w:eastAsia="宋体" w:cs="宋体"/>
          <w:b w:val="0"/>
          <w:bCs w:val="0"/>
          <w:color w:val="auto"/>
          <w:sz w:val="24"/>
          <w:szCs w:val="24"/>
          <w:highlight w:val="none"/>
        </w:rPr>
        <w:t>文件：</w:t>
      </w:r>
    </w:p>
    <w:p>
      <w:pPr>
        <w:tabs>
          <w:tab w:val="left" w:pos="148"/>
        </w:tabs>
        <w:spacing w:line="240" w:lineRule="auto"/>
        <w:ind w:firstLine="480" w:firstLineChars="20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授权代表负责报名的应提供单位介绍信原件或授权委托书原件以及授权代表身份证复印件；法定代表人或单位负责人负责报名的应提供法人身份证明书以及法人身份证复印件。以上材料均须加盖</w:t>
      </w:r>
      <w:r>
        <w:rPr>
          <w:rFonts w:hint="eastAsia" w:ascii="宋体" w:hAnsi="宋体" w:eastAsia="宋体" w:cs="宋体"/>
          <w:b w:val="0"/>
          <w:bCs w:val="0"/>
          <w:color w:val="auto"/>
          <w:sz w:val="24"/>
          <w:szCs w:val="24"/>
          <w:highlight w:val="none"/>
          <w:lang w:eastAsia="zh-CN"/>
        </w:rPr>
        <w:t>投标人</w:t>
      </w:r>
      <w:r>
        <w:rPr>
          <w:rFonts w:hint="eastAsia" w:ascii="宋体" w:hAnsi="宋体" w:eastAsia="宋体" w:cs="宋体"/>
          <w:b w:val="0"/>
          <w:bCs w:val="0"/>
          <w:color w:val="auto"/>
          <w:sz w:val="24"/>
          <w:szCs w:val="24"/>
          <w:highlight w:val="none"/>
        </w:rPr>
        <w:t>公章。</w:t>
      </w:r>
    </w:p>
    <w:p>
      <w:pPr>
        <w:tabs>
          <w:tab w:val="left" w:pos="148"/>
        </w:tabs>
        <w:spacing w:line="240" w:lineRule="auto"/>
        <w:ind w:firstLine="480" w:firstLineChars="200"/>
        <w:rPr>
          <w:rFonts w:ascii="宋体" w:hAnsi="宋体" w:eastAsia="宋体" w:cs="宋体"/>
          <w:color w:val="auto"/>
          <w:sz w:val="24"/>
          <w:szCs w:val="24"/>
          <w:highlight w:val="none"/>
        </w:rPr>
      </w:pPr>
      <w:r>
        <w:rPr>
          <w:rFonts w:hint="eastAsia" w:ascii="宋体" w:hAnsi="宋体" w:eastAsia="宋体" w:cs="宋体"/>
          <w:b w:val="0"/>
          <w:bCs w:val="0"/>
          <w:color w:val="auto"/>
          <w:sz w:val="24"/>
          <w:szCs w:val="24"/>
          <w:highlight w:val="none"/>
        </w:rPr>
        <w:t>注：开具单位介绍信或授权委托书时需写明项目名称、项目编号、授权代表姓名、手机号码、邮箱、及办理具体事宜等内容。</w:t>
      </w:r>
    </w:p>
    <w:p>
      <w:pPr>
        <w:spacing w:line="240" w:lineRule="auto"/>
        <w:ind w:firstLine="482" w:firstLineChars="200"/>
        <w:rPr>
          <w:rFonts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八、投标截止时间和开标时间：</w:t>
      </w:r>
      <w:r>
        <w:rPr>
          <w:rFonts w:ascii="宋体" w:hAnsi="宋体" w:eastAsia="宋体" w:cs="宋体"/>
          <w:color w:val="auto"/>
          <w:sz w:val="24"/>
          <w:szCs w:val="24"/>
          <w:highlight w:val="none"/>
        </w:rPr>
        <w:t>202</w:t>
      </w:r>
      <w:r>
        <w:rPr>
          <w:rFonts w:hint="eastAsia" w:ascii="宋体" w:hAnsi="宋体" w:eastAsia="宋体" w:cs="宋体"/>
          <w:color w:val="auto"/>
          <w:sz w:val="24"/>
          <w:szCs w:val="24"/>
          <w:highlight w:val="none"/>
          <w:lang w:val="en-US" w:eastAsia="zh-CN"/>
        </w:rPr>
        <w:t>4</w:t>
      </w:r>
      <w:r>
        <w:rPr>
          <w:rFonts w:ascii="宋体" w:hAnsi="宋体" w:eastAsia="宋体" w:cs="宋体"/>
          <w:color w:val="auto"/>
          <w:sz w:val="24"/>
          <w:szCs w:val="24"/>
          <w:highlight w:val="none"/>
        </w:rPr>
        <w:t>年</w:t>
      </w:r>
      <w:r>
        <w:rPr>
          <w:rFonts w:hint="eastAsia" w:ascii="宋体" w:hAnsi="宋体" w:eastAsia="宋体" w:cs="宋体"/>
          <w:color w:val="auto"/>
          <w:sz w:val="24"/>
          <w:szCs w:val="24"/>
          <w:highlight w:val="none"/>
          <w:lang w:val="en-US" w:eastAsia="zh-CN"/>
        </w:rPr>
        <w:t>7</w:t>
      </w:r>
      <w:r>
        <w:rPr>
          <w:rFonts w:ascii="宋体" w:hAnsi="宋体" w:eastAsia="宋体" w:cs="宋体"/>
          <w:color w:val="auto"/>
          <w:sz w:val="24"/>
          <w:szCs w:val="24"/>
          <w:highlight w:val="none"/>
        </w:rPr>
        <w:t>月</w:t>
      </w:r>
      <w:r>
        <w:rPr>
          <w:rFonts w:hint="eastAsia" w:ascii="宋体" w:hAnsi="宋体" w:eastAsia="宋体" w:cs="宋体"/>
          <w:color w:val="auto"/>
          <w:sz w:val="24"/>
          <w:szCs w:val="24"/>
          <w:highlight w:val="none"/>
          <w:lang w:val="en-US" w:eastAsia="zh-CN"/>
        </w:rPr>
        <w:t>31</w:t>
      </w:r>
      <w:r>
        <w:rPr>
          <w:rFonts w:ascii="宋体" w:hAnsi="宋体" w:eastAsia="宋体" w:cs="宋体"/>
          <w:color w:val="auto"/>
          <w:sz w:val="24"/>
          <w:szCs w:val="24"/>
          <w:highlight w:val="none"/>
        </w:rPr>
        <w:t>日</w:t>
      </w:r>
      <w:r>
        <w:rPr>
          <w:rFonts w:hint="eastAsia" w:ascii="宋体" w:hAnsi="宋体" w:eastAsia="宋体" w:cs="宋体"/>
          <w:color w:val="auto"/>
          <w:sz w:val="24"/>
          <w:szCs w:val="24"/>
          <w:highlight w:val="none"/>
          <w:lang w:val="en-US" w:eastAsia="zh-CN"/>
        </w:rPr>
        <w:t>10:30</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北京时间</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w:t>
      </w:r>
    </w:p>
    <w:p>
      <w:pPr>
        <w:spacing w:line="240" w:lineRule="auto"/>
        <w:ind w:firstLine="474"/>
        <w:rPr>
          <w:rFonts w:ascii="宋体" w:hAnsi="宋体" w:eastAsia="宋体" w:cs="宋体"/>
          <w:color w:val="auto"/>
          <w:sz w:val="24"/>
          <w:szCs w:val="24"/>
          <w:highlight w:val="none"/>
        </w:rPr>
      </w:pPr>
      <w:r>
        <w:rPr>
          <w:rFonts w:ascii="宋体" w:hAnsi="宋体" w:eastAsia="宋体" w:cs="宋体"/>
          <w:color w:val="auto"/>
          <w:sz w:val="24"/>
          <w:szCs w:val="24"/>
          <w:highlight w:val="none"/>
        </w:rPr>
        <w:t>投标文件必须在投标截止时间前送达开标地点。逾期送达的投标文件不予接收。本次招标不接受邮寄的投标文件。</w:t>
      </w:r>
    </w:p>
    <w:p>
      <w:pPr>
        <w:spacing w:line="240" w:lineRule="auto"/>
        <w:ind w:firstLine="482" w:firstLineChars="200"/>
        <w:rPr>
          <w:rFonts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九、开标地点：</w:t>
      </w:r>
      <w:r>
        <w:rPr>
          <w:rFonts w:hint="eastAsia" w:ascii="宋体" w:hAnsi="宋体" w:eastAsia="宋体" w:cs="宋体"/>
          <w:b/>
          <w:bCs/>
          <w:color w:val="auto"/>
          <w:sz w:val="24"/>
          <w:szCs w:val="24"/>
          <w:highlight w:val="none"/>
          <w:lang w:val="en-US" w:eastAsia="zh-CN"/>
        </w:rPr>
        <w:t>成都市高新区环球中心N3区19楼18号四川铭信工程招标咨询有限公司</w:t>
      </w:r>
      <w:r>
        <w:rPr>
          <w:rFonts w:hint="eastAsia" w:ascii="宋体" w:hAnsi="宋体" w:eastAsia="宋体" w:cs="宋体"/>
          <w:b/>
          <w:bCs/>
          <w:color w:val="auto"/>
          <w:sz w:val="24"/>
          <w:szCs w:val="24"/>
          <w:highlight w:val="none"/>
        </w:rPr>
        <w:t>。</w:t>
      </w:r>
    </w:p>
    <w:p>
      <w:pPr>
        <w:spacing w:line="240" w:lineRule="auto"/>
        <w:ind w:firstLine="482" w:firstLineChars="200"/>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xml:space="preserve">十、本投标邀请在中国招标投标公共服务平台（http://www.cebpubservice.com/）上以公告形式发布。 </w:t>
      </w:r>
    </w:p>
    <w:p>
      <w:pPr>
        <w:spacing w:line="240" w:lineRule="auto"/>
        <w:ind w:firstLine="482" w:firstLineChars="200"/>
        <w:rPr>
          <w:rFonts w:ascii="宋体" w:hAnsi="宋体" w:eastAsia="宋体" w:cs="宋体"/>
          <w:b/>
          <w:bCs/>
          <w:color w:val="auto"/>
          <w:sz w:val="24"/>
          <w:szCs w:val="24"/>
          <w:highlight w:val="none"/>
        </w:rPr>
      </w:pPr>
      <w:bookmarkStart w:id="7" w:name="_Toc31952"/>
      <w:r>
        <w:rPr>
          <w:rFonts w:hint="eastAsia" w:ascii="宋体" w:hAnsi="宋体" w:eastAsia="宋体" w:cs="宋体"/>
          <w:b/>
          <w:bCs/>
          <w:color w:val="auto"/>
          <w:sz w:val="24"/>
          <w:szCs w:val="24"/>
          <w:highlight w:val="none"/>
        </w:rPr>
        <w:t>十一、联系方式</w:t>
      </w:r>
      <w:bookmarkEnd w:id="7"/>
    </w:p>
    <w:p>
      <w:pPr>
        <w:spacing w:line="240" w:lineRule="auto"/>
        <w:ind w:firstLine="482" w:firstLineChars="200"/>
        <w:rPr>
          <w:rFonts w:hint="eastAsia" w:ascii="宋体" w:hAnsi="宋体" w:eastAsia="宋体" w:cs="宋体"/>
          <w:b/>
          <w:bCs/>
          <w:color w:val="auto"/>
          <w:sz w:val="24"/>
          <w:szCs w:val="24"/>
          <w:highlight w:val="none"/>
          <w:lang w:eastAsia="zh-CN"/>
        </w:rPr>
      </w:pPr>
      <w:bookmarkStart w:id="8" w:name="_Toc1539"/>
      <w:r>
        <w:rPr>
          <w:rFonts w:hint="eastAsia" w:ascii="宋体" w:hAnsi="宋体" w:eastAsia="宋体" w:cs="宋体"/>
          <w:b/>
          <w:bCs/>
          <w:color w:val="auto"/>
          <w:sz w:val="24"/>
          <w:szCs w:val="24"/>
          <w:highlight w:val="none"/>
        </w:rPr>
        <w:t>招标人：</w:t>
      </w:r>
      <w:bookmarkEnd w:id="8"/>
      <w:r>
        <w:rPr>
          <w:rFonts w:hint="eastAsia"/>
          <w:b/>
          <w:color w:val="auto"/>
          <w:sz w:val="24"/>
          <w:highlight w:val="none"/>
          <w:lang w:eastAsia="zh-CN"/>
        </w:rPr>
        <w:t>成都市技师学院</w:t>
      </w:r>
    </w:p>
    <w:p>
      <w:pPr>
        <w:spacing w:line="240" w:lineRule="auto"/>
        <w:ind w:firstLine="480" w:firstLineChars="200"/>
        <w:rPr>
          <w:rFonts w:ascii="宋体" w:hAnsi="宋体" w:eastAsia="宋体" w:cs="宋体"/>
          <w:color w:val="auto"/>
          <w:sz w:val="24"/>
          <w:szCs w:val="24"/>
          <w:highlight w:val="none"/>
        </w:rPr>
      </w:pPr>
      <w:r>
        <w:rPr>
          <w:rFonts w:ascii="宋体" w:hAnsi="宋体" w:eastAsia="宋体" w:cs="宋体"/>
          <w:color w:val="auto"/>
          <w:sz w:val="24"/>
          <w:szCs w:val="24"/>
          <w:highlight w:val="none"/>
        </w:rPr>
        <w:t>地    址：</w:t>
      </w:r>
      <w:r>
        <w:rPr>
          <w:rFonts w:hint="eastAsia" w:ascii="宋体" w:hAnsi="宋体"/>
          <w:color w:val="auto"/>
          <w:sz w:val="24"/>
          <w:highlight w:val="none"/>
          <w:lang w:eastAsia="zh-CN"/>
        </w:rPr>
        <w:t>成都市郫都区红光街道港通北三路1899号</w:t>
      </w:r>
    </w:p>
    <w:p>
      <w:pPr>
        <w:spacing w:line="240" w:lineRule="auto"/>
        <w:ind w:firstLine="480" w:firstLineChars="200"/>
        <w:rPr>
          <w:rFonts w:hint="eastAsia" w:ascii="宋体" w:hAnsi="宋体" w:eastAsia="宋体" w:cs="宋体"/>
          <w:color w:val="auto"/>
          <w:sz w:val="24"/>
          <w:szCs w:val="24"/>
          <w:highlight w:val="none"/>
          <w:lang w:val="en-US" w:eastAsia="zh-CN"/>
        </w:rPr>
      </w:pPr>
      <w:r>
        <w:rPr>
          <w:rFonts w:ascii="宋体" w:hAnsi="宋体" w:eastAsia="宋体" w:cs="宋体"/>
          <w:color w:val="auto"/>
          <w:sz w:val="24"/>
          <w:szCs w:val="24"/>
          <w:highlight w:val="none"/>
        </w:rPr>
        <w:t>联 系 人：</w:t>
      </w:r>
      <w:r>
        <w:rPr>
          <w:rFonts w:hint="eastAsia" w:ascii="宋体" w:hAnsi="宋体" w:cs="微软雅黑"/>
          <w:color w:val="auto"/>
          <w:sz w:val="24"/>
          <w:highlight w:val="none"/>
          <w:lang w:eastAsia="zh-CN"/>
        </w:rPr>
        <w:t>王老师</w:t>
      </w:r>
    </w:p>
    <w:p>
      <w:pPr>
        <w:spacing w:line="240" w:lineRule="auto"/>
        <w:ind w:firstLine="480" w:firstLineChars="200"/>
        <w:rPr>
          <w:rFonts w:ascii="宋体" w:hAnsi="宋体" w:eastAsia="宋体" w:cs="宋体"/>
          <w:color w:val="auto"/>
          <w:sz w:val="24"/>
          <w:szCs w:val="24"/>
          <w:highlight w:val="none"/>
        </w:rPr>
      </w:pPr>
      <w:r>
        <w:rPr>
          <w:rFonts w:ascii="宋体" w:hAnsi="宋体" w:eastAsia="宋体" w:cs="宋体"/>
          <w:color w:val="auto"/>
          <w:sz w:val="24"/>
          <w:szCs w:val="24"/>
          <w:highlight w:val="none"/>
        </w:rPr>
        <w:t>联系电话：</w:t>
      </w:r>
      <w:r>
        <w:rPr>
          <w:rFonts w:hint="eastAsia" w:ascii="宋体" w:hAnsi="宋体" w:cs="微软雅黑"/>
          <w:color w:val="auto"/>
          <w:sz w:val="24"/>
          <w:highlight w:val="none"/>
          <w:lang w:eastAsia="zh-CN"/>
        </w:rPr>
        <w:t>028-64907283</w:t>
      </w:r>
    </w:p>
    <w:p>
      <w:pPr>
        <w:spacing w:line="24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xml:space="preserve">采购代理机构：四川铭信工程招标咨询有限公司 </w:t>
      </w:r>
    </w:p>
    <w:p>
      <w:pPr>
        <w:spacing w:line="240" w:lineRule="auto"/>
        <w:ind w:firstLine="480" w:firstLineChars="20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地    址：成都市高新区高朋大道21号。</w:t>
      </w:r>
    </w:p>
    <w:p>
      <w:pPr>
        <w:spacing w:line="240" w:lineRule="auto"/>
        <w:ind w:firstLine="480" w:firstLineChars="20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邮    编：610000</w:t>
      </w:r>
    </w:p>
    <w:p>
      <w:pPr>
        <w:spacing w:line="240" w:lineRule="auto"/>
        <w:ind w:firstLine="480" w:firstLineChars="200"/>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rPr>
        <w:t>联 系 人：</w:t>
      </w:r>
      <w:r>
        <w:rPr>
          <w:rFonts w:hint="eastAsia" w:ascii="宋体" w:hAnsi="宋体" w:eastAsia="宋体" w:cs="宋体"/>
          <w:b w:val="0"/>
          <w:bCs w:val="0"/>
          <w:color w:val="auto"/>
          <w:sz w:val="24"/>
          <w:szCs w:val="24"/>
          <w:highlight w:val="none"/>
          <w:lang w:val="en-US" w:eastAsia="zh-CN"/>
        </w:rPr>
        <w:t>陈女士</w:t>
      </w:r>
    </w:p>
    <w:p>
      <w:pPr>
        <w:spacing w:line="240" w:lineRule="auto"/>
        <w:ind w:firstLine="480" w:firstLineChars="200"/>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rPr>
        <w:t>联系电话：</w:t>
      </w:r>
      <w:r>
        <w:rPr>
          <w:rFonts w:hint="eastAsia" w:ascii="宋体" w:hAnsi="宋体" w:cs="微软雅黑"/>
          <w:color w:val="auto"/>
          <w:sz w:val="24"/>
          <w:highlight w:val="none"/>
          <w:lang w:eastAsia="zh-CN"/>
        </w:rPr>
        <w:t>13558776674</w:t>
      </w:r>
    </w:p>
    <w:p>
      <w:pPr>
        <w:spacing w:line="240" w:lineRule="auto"/>
        <w:ind w:firstLine="480" w:firstLineChars="200"/>
        <w:rPr>
          <w:rFonts w:ascii="宋体" w:hAnsi="宋体" w:eastAsia="宋体" w:cs="宋体"/>
          <w:color w:val="auto"/>
          <w:sz w:val="24"/>
          <w:szCs w:val="24"/>
          <w:highlight w:val="none"/>
        </w:rPr>
      </w:pPr>
      <w:r>
        <w:rPr>
          <w:rFonts w:hint="eastAsia" w:ascii="宋体" w:hAnsi="宋体" w:eastAsia="宋体" w:cs="宋体"/>
          <w:b w:val="0"/>
          <w:bCs w:val="0"/>
          <w:color w:val="auto"/>
          <w:sz w:val="24"/>
          <w:szCs w:val="24"/>
          <w:highlight w:val="none"/>
        </w:rPr>
        <w:t>电子邮件：scmxgczx@163.com</w:t>
      </w:r>
    </w:p>
    <w:p>
      <w:pPr>
        <w:spacing w:line="240" w:lineRule="auto"/>
        <w:rPr>
          <w:color w:val="auto"/>
          <w:highlight w:val="none"/>
        </w:rPr>
      </w:pPr>
    </w:p>
    <w:p>
      <w:pPr>
        <w:pStyle w:val="2"/>
        <w:spacing w:line="240" w:lineRule="auto"/>
        <w:rPr>
          <w:color w:val="auto"/>
          <w:highlight w:val="none"/>
        </w:rPr>
        <w:sectPr>
          <w:footerReference r:id="rId3" w:type="default"/>
          <w:pgSz w:w="11905" w:h="16838"/>
          <w:pgMar w:top="1417" w:right="1417" w:bottom="1417" w:left="1417" w:header="0" w:footer="1134" w:gutter="0"/>
          <w:cols w:space="425" w:num="1"/>
        </w:sectPr>
      </w:pPr>
    </w:p>
    <w:p>
      <w:pPr>
        <w:spacing w:before="114" w:line="240" w:lineRule="auto"/>
        <w:jc w:val="center"/>
        <w:outlineLvl w:val="0"/>
        <w:rPr>
          <w:rFonts w:ascii="宋体" w:hAnsi="宋体" w:eastAsia="宋体" w:cs="宋体"/>
          <w:color w:val="auto"/>
          <w:spacing w:val="11"/>
          <w:sz w:val="36"/>
          <w:szCs w:val="36"/>
          <w:highlight w:val="none"/>
          <w14:textOutline w14:w="6540" w14:cap="sq" w14:cmpd="sng" w14:algn="ctr">
            <w14:solidFill>
              <w14:srgbClr w14:val="000000"/>
            </w14:solidFill>
            <w14:prstDash w14:val="solid"/>
            <w14:bevel/>
          </w14:textOutline>
        </w:rPr>
      </w:pPr>
      <w:bookmarkStart w:id="9" w:name="_Toc2059"/>
      <w:r>
        <w:rPr>
          <w:rFonts w:hint="eastAsia" w:ascii="宋体" w:hAnsi="宋体" w:eastAsia="宋体" w:cs="宋体"/>
          <w:color w:val="auto"/>
          <w:spacing w:val="11"/>
          <w:sz w:val="36"/>
          <w:szCs w:val="36"/>
          <w:highlight w:val="none"/>
          <w14:textOutline w14:w="6540" w14:cap="sq" w14:cmpd="sng" w14:algn="ctr">
            <w14:solidFill>
              <w14:srgbClr w14:val="000000"/>
            </w14:solidFill>
            <w14:prstDash w14:val="solid"/>
            <w14:bevel/>
          </w14:textOutline>
        </w:rPr>
        <w:t>第二章  投标人须知</w:t>
      </w:r>
      <w:bookmarkEnd w:id="9"/>
    </w:p>
    <w:p>
      <w:pPr>
        <w:spacing w:line="240" w:lineRule="auto"/>
        <w:rPr>
          <w:color w:val="auto"/>
          <w:highlight w:val="none"/>
        </w:rPr>
      </w:pPr>
    </w:p>
    <w:p>
      <w:pPr>
        <w:spacing w:line="240" w:lineRule="auto"/>
        <w:ind w:firstLine="622" w:firstLineChars="200"/>
        <w:jc w:val="center"/>
        <w:outlineLvl w:val="1"/>
        <w:rPr>
          <w:rFonts w:ascii="宋体" w:hAnsi="宋体" w:eastAsia="宋体" w:cs="宋体"/>
          <w:b/>
          <w:bCs/>
          <w:color w:val="auto"/>
          <w:sz w:val="31"/>
          <w:szCs w:val="31"/>
          <w:highlight w:val="none"/>
        </w:rPr>
      </w:pPr>
      <w:bookmarkStart w:id="10" w:name="_Toc8096"/>
      <w:bookmarkStart w:id="11" w:name="_Toc30521"/>
      <w:r>
        <w:rPr>
          <w:rFonts w:hint="eastAsia" w:ascii="宋体" w:hAnsi="宋体" w:eastAsia="宋体" w:cs="宋体"/>
          <w:b/>
          <w:bCs/>
          <w:color w:val="auto"/>
          <w:sz w:val="31"/>
          <w:szCs w:val="31"/>
          <w:highlight w:val="none"/>
        </w:rPr>
        <w:t>一、投标人须知附表</w:t>
      </w:r>
      <w:bookmarkEnd w:id="10"/>
      <w:bookmarkEnd w:id="11"/>
    </w:p>
    <w:tbl>
      <w:tblPr>
        <w:tblStyle w:val="23"/>
        <w:tblW w:w="9504"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856"/>
        <w:gridCol w:w="1750"/>
        <w:gridCol w:w="6898"/>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517" w:hRule="atLeast"/>
          <w:jc w:val="center"/>
        </w:trPr>
        <w:tc>
          <w:tcPr>
            <w:tcW w:w="856" w:type="dxa"/>
            <w:tcBorders>
              <w:tl2br w:val="nil"/>
              <w:tr2bl w:val="nil"/>
            </w:tcBorders>
            <w:vAlign w:val="center"/>
          </w:tcPr>
          <w:p>
            <w:pPr>
              <w:spacing w:line="240" w:lineRule="auto"/>
              <w:jc w:val="center"/>
              <w:rPr>
                <w:rFonts w:ascii="宋体" w:hAnsi="宋体" w:eastAsia="宋体" w:cs="宋体"/>
                <w:color w:val="auto"/>
                <w:sz w:val="24"/>
                <w:szCs w:val="24"/>
                <w:highlight w:val="none"/>
              </w:rPr>
            </w:pPr>
            <w:r>
              <w:rPr>
                <w:rFonts w:ascii="宋体" w:hAnsi="宋体" w:eastAsia="宋体" w:cs="宋体"/>
                <w:color w:val="auto"/>
                <w:sz w:val="24"/>
                <w:szCs w:val="24"/>
                <w:highlight w:val="none"/>
              </w:rPr>
              <w:t>序号</w:t>
            </w:r>
          </w:p>
        </w:tc>
        <w:tc>
          <w:tcPr>
            <w:tcW w:w="1750" w:type="dxa"/>
            <w:tcBorders>
              <w:tl2br w:val="nil"/>
              <w:tr2bl w:val="nil"/>
            </w:tcBorders>
            <w:vAlign w:val="center"/>
          </w:tcPr>
          <w:p>
            <w:pPr>
              <w:spacing w:line="240" w:lineRule="auto"/>
              <w:jc w:val="center"/>
              <w:rPr>
                <w:rFonts w:ascii="宋体" w:hAnsi="宋体" w:eastAsia="宋体" w:cs="宋体"/>
                <w:color w:val="auto"/>
                <w:sz w:val="24"/>
                <w:szCs w:val="24"/>
                <w:highlight w:val="none"/>
              </w:rPr>
            </w:pPr>
            <w:r>
              <w:rPr>
                <w:rFonts w:ascii="宋体" w:hAnsi="宋体" w:eastAsia="宋体" w:cs="宋体"/>
                <w:color w:val="auto"/>
                <w:sz w:val="24"/>
                <w:szCs w:val="24"/>
                <w:highlight w:val="none"/>
              </w:rPr>
              <w:t>条款名称</w:t>
            </w:r>
          </w:p>
        </w:tc>
        <w:tc>
          <w:tcPr>
            <w:tcW w:w="6898" w:type="dxa"/>
            <w:tcBorders>
              <w:tl2br w:val="nil"/>
              <w:tr2bl w:val="nil"/>
            </w:tcBorders>
            <w:vAlign w:val="center"/>
          </w:tcPr>
          <w:p>
            <w:pPr>
              <w:spacing w:line="240" w:lineRule="auto"/>
              <w:jc w:val="center"/>
              <w:rPr>
                <w:rFonts w:ascii="宋体" w:hAnsi="宋体" w:eastAsia="宋体" w:cs="宋体"/>
                <w:color w:val="auto"/>
                <w:sz w:val="24"/>
                <w:szCs w:val="24"/>
                <w:highlight w:val="none"/>
              </w:rPr>
            </w:pPr>
            <w:r>
              <w:rPr>
                <w:rFonts w:ascii="宋体" w:hAnsi="宋体" w:eastAsia="宋体" w:cs="宋体"/>
                <w:color w:val="auto"/>
                <w:sz w:val="24"/>
                <w:szCs w:val="24"/>
                <w:highlight w:val="none"/>
              </w:rPr>
              <w:t>说明和要求</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1298" w:hRule="atLeast"/>
          <w:jc w:val="center"/>
        </w:trPr>
        <w:tc>
          <w:tcPr>
            <w:tcW w:w="856" w:type="dxa"/>
            <w:tcBorders>
              <w:tl2br w:val="nil"/>
              <w:tr2bl w:val="nil"/>
            </w:tcBorders>
            <w:vAlign w:val="center"/>
          </w:tcPr>
          <w:p>
            <w:pPr>
              <w:spacing w:line="240" w:lineRule="auto"/>
              <w:jc w:val="center"/>
              <w:rPr>
                <w:color w:val="auto"/>
                <w:sz w:val="24"/>
                <w:szCs w:val="24"/>
                <w:highlight w:val="none"/>
              </w:rPr>
            </w:pPr>
          </w:p>
          <w:p>
            <w:pPr>
              <w:spacing w:line="240" w:lineRule="auto"/>
              <w:jc w:val="center"/>
              <w:rPr>
                <w:rFonts w:ascii="宋体" w:hAnsi="宋体" w:eastAsia="宋体" w:cs="宋体"/>
                <w:color w:val="auto"/>
                <w:sz w:val="24"/>
                <w:szCs w:val="24"/>
                <w:highlight w:val="none"/>
              </w:rPr>
            </w:pPr>
            <w:r>
              <w:rPr>
                <w:rFonts w:ascii="宋体" w:hAnsi="宋体" w:eastAsia="宋体" w:cs="宋体"/>
                <w:color w:val="auto"/>
                <w:sz w:val="24"/>
                <w:szCs w:val="24"/>
                <w:highlight w:val="none"/>
              </w:rPr>
              <w:t>1</w:t>
            </w:r>
          </w:p>
        </w:tc>
        <w:tc>
          <w:tcPr>
            <w:tcW w:w="1750" w:type="dxa"/>
            <w:tcBorders>
              <w:tl2br w:val="nil"/>
              <w:tr2bl w:val="nil"/>
            </w:tcBorders>
            <w:vAlign w:val="center"/>
          </w:tcPr>
          <w:p>
            <w:pPr>
              <w:spacing w:line="240" w:lineRule="auto"/>
              <w:jc w:val="center"/>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最高限价</w:t>
            </w:r>
          </w:p>
          <w:p>
            <w:pPr>
              <w:spacing w:line="240" w:lineRule="auto"/>
              <w:jc w:val="center"/>
              <w:rPr>
                <w:rFonts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(实质性要求)</w:t>
            </w:r>
          </w:p>
        </w:tc>
        <w:tc>
          <w:tcPr>
            <w:tcW w:w="6898" w:type="dxa"/>
            <w:tcBorders>
              <w:tl2br w:val="nil"/>
              <w:tr2bl w:val="nil"/>
            </w:tcBorders>
            <w:vAlign w:val="center"/>
          </w:tcPr>
          <w:p>
            <w:pPr>
              <w:spacing w:line="240" w:lineRule="auto"/>
              <w:jc w:val="both"/>
              <w:rPr>
                <w:rFonts w:hint="eastAsia" w:ascii="宋体" w:hAnsi="宋体" w:eastAsia="宋体" w:cs="宋体"/>
                <w:color w:val="auto"/>
                <w:sz w:val="24"/>
                <w:szCs w:val="24"/>
                <w:highlight w:val="none"/>
                <w:lang w:val="en-US" w:eastAsia="zh-CN"/>
              </w:rPr>
            </w:pPr>
            <w:r>
              <w:rPr>
                <w:rFonts w:ascii="宋体" w:hAnsi="宋体" w:eastAsia="宋体" w:cs="宋体"/>
                <w:b/>
                <w:bCs/>
                <w:color w:val="auto"/>
                <w:sz w:val="24"/>
                <w:szCs w:val="24"/>
                <w:highlight w:val="none"/>
              </w:rPr>
              <w:t>最高限价：</w:t>
            </w:r>
            <w:r>
              <w:rPr>
                <w:rFonts w:hint="default" w:ascii="宋体" w:hAnsi="宋体" w:eastAsia="宋体" w:cs="宋体"/>
                <w:color w:val="auto"/>
                <w:sz w:val="24"/>
                <w:szCs w:val="24"/>
                <w:highlight w:val="none"/>
              </w:rPr>
              <w:t>120元/套</w:t>
            </w:r>
            <w:r>
              <w:rPr>
                <w:rFonts w:hint="eastAsia" w:ascii="宋体" w:hAnsi="宋体" w:eastAsia="宋体" w:cs="宋体"/>
                <w:b/>
                <w:bCs/>
                <w:color w:val="auto"/>
                <w:sz w:val="24"/>
                <w:szCs w:val="24"/>
                <w:highlight w:val="none"/>
              </w:rPr>
              <w:t>。</w:t>
            </w:r>
          </w:p>
          <w:p>
            <w:pPr>
              <w:spacing w:line="240" w:lineRule="auto"/>
              <w:jc w:val="both"/>
              <w:rPr>
                <w:rFonts w:ascii="宋体" w:hAnsi="宋体" w:eastAsia="宋体" w:cs="宋体"/>
                <w:color w:val="auto"/>
                <w:sz w:val="24"/>
                <w:szCs w:val="24"/>
                <w:highlight w:val="none"/>
              </w:rPr>
            </w:pPr>
            <w:r>
              <w:rPr>
                <w:rFonts w:hint="default" w:ascii="宋体" w:hAnsi="宋体" w:eastAsia="宋体" w:cs="宋体"/>
                <w:color w:val="auto"/>
                <w:sz w:val="24"/>
                <w:szCs w:val="24"/>
                <w:highlight w:val="none"/>
              </w:rPr>
              <w:t>投标人在单价最高限价的基础上进行整体下浮报价，报价不得为负数</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超过最高限价的报价为无效投标。</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898" w:hRule="atLeast"/>
          <w:jc w:val="center"/>
        </w:trPr>
        <w:tc>
          <w:tcPr>
            <w:tcW w:w="856" w:type="dxa"/>
            <w:tcBorders>
              <w:tl2br w:val="nil"/>
              <w:tr2bl w:val="nil"/>
            </w:tcBorders>
            <w:vAlign w:val="center"/>
          </w:tcPr>
          <w:p>
            <w:pPr>
              <w:spacing w:line="240" w:lineRule="auto"/>
              <w:jc w:val="center"/>
              <w:rPr>
                <w:rFonts w:ascii="宋体" w:hAnsi="宋体" w:eastAsia="宋体" w:cs="宋体"/>
                <w:color w:val="auto"/>
                <w:sz w:val="24"/>
                <w:szCs w:val="24"/>
                <w:highlight w:val="none"/>
              </w:rPr>
            </w:pPr>
            <w:r>
              <w:rPr>
                <w:rFonts w:ascii="宋体" w:hAnsi="宋体" w:eastAsia="宋体" w:cs="宋体"/>
                <w:color w:val="auto"/>
                <w:sz w:val="24"/>
                <w:szCs w:val="24"/>
                <w:highlight w:val="none"/>
              </w:rPr>
              <w:t>2</w:t>
            </w:r>
          </w:p>
        </w:tc>
        <w:tc>
          <w:tcPr>
            <w:tcW w:w="1750" w:type="dxa"/>
            <w:tcBorders>
              <w:tl2br w:val="nil"/>
              <w:tr2bl w:val="nil"/>
            </w:tcBorders>
            <w:vAlign w:val="center"/>
          </w:tcPr>
          <w:p>
            <w:pPr>
              <w:spacing w:line="240" w:lineRule="auto"/>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采购方式</w:t>
            </w:r>
          </w:p>
        </w:tc>
        <w:tc>
          <w:tcPr>
            <w:tcW w:w="6898" w:type="dxa"/>
            <w:tcBorders>
              <w:tl2br w:val="nil"/>
              <w:tr2bl w:val="nil"/>
            </w:tcBorders>
            <w:vAlign w:val="center"/>
          </w:tcPr>
          <w:p>
            <w:pPr>
              <w:spacing w:line="240" w:lineRule="auto"/>
              <w:jc w:val="both"/>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公开招标</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856" w:type="dxa"/>
            <w:tcBorders>
              <w:tl2br w:val="nil"/>
              <w:tr2bl w:val="nil"/>
            </w:tcBorders>
            <w:vAlign w:val="center"/>
          </w:tcPr>
          <w:p>
            <w:pPr>
              <w:spacing w:line="240" w:lineRule="auto"/>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750" w:type="dxa"/>
            <w:tcBorders>
              <w:tl2br w:val="nil"/>
              <w:tr2bl w:val="nil"/>
            </w:tcBorders>
            <w:vAlign w:val="center"/>
          </w:tcPr>
          <w:p>
            <w:pPr>
              <w:pStyle w:val="24"/>
              <w:spacing w:line="240" w:lineRule="auto"/>
              <w:ind w:left="96"/>
              <w:jc w:val="center"/>
              <w:rPr>
                <w:rFonts w:ascii="宋体" w:hAnsi="宋体" w:eastAsia="宋体" w:cs="宋体"/>
                <w:b/>
                <w:bCs/>
                <w:color w:val="auto"/>
                <w:sz w:val="24"/>
                <w:szCs w:val="24"/>
                <w:highlight w:val="none"/>
              </w:rPr>
            </w:pPr>
            <w:r>
              <w:rPr>
                <w:rFonts w:hint="eastAsia"/>
                <w:snapToGrid w:val="0"/>
                <w:color w:val="auto"/>
                <w:sz w:val="24"/>
                <w:szCs w:val="24"/>
                <w:highlight w:val="none"/>
                <w:lang w:val="zh-CN"/>
              </w:rPr>
              <w:t>评标方法</w:t>
            </w:r>
          </w:p>
        </w:tc>
        <w:tc>
          <w:tcPr>
            <w:tcW w:w="6898" w:type="dxa"/>
            <w:tcBorders>
              <w:tl2br w:val="nil"/>
              <w:tr2bl w:val="nil"/>
            </w:tcBorders>
            <w:vAlign w:val="center"/>
          </w:tcPr>
          <w:p>
            <w:pPr>
              <w:pStyle w:val="24"/>
              <w:spacing w:line="240" w:lineRule="auto"/>
              <w:rPr>
                <w:rFonts w:ascii="宋体" w:hAnsi="宋体" w:eastAsia="宋体" w:cs="宋体"/>
                <w:color w:val="auto"/>
                <w:sz w:val="24"/>
                <w:szCs w:val="24"/>
                <w:highlight w:val="none"/>
              </w:rPr>
            </w:pPr>
            <w:r>
              <w:rPr>
                <w:rFonts w:hint="eastAsia"/>
                <w:snapToGrid w:val="0"/>
                <w:color w:val="auto"/>
                <w:sz w:val="24"/>
                <w:szCs w:val="24"/>
                <w:highlight w:val="none"/>
                <w:lang w:val="zh-CN"/>
              </w:rPr>
              <w:t>综合评分法(详见第</w:t>
            </w:r>
            <w:r>
              <w:rPr>
                <w:rFonts w:hint="eastAsia"/>
                <w:snapToGrid w:val="0"/>
                <w:color w:val="auto"/>
                <w:sz w:val="24"/>
                <w:szCs w:val="24"/>
                <w:highlight w:val="none"/>
              </w:rPr>
              <w:t>七</w:t>
            </w:r>
            <w:r>
              <w:rPr>
                <w:rFonts w:hint="eastAsia"/>
                <w:snapToGrid w:val="0"/>
                <w:color w:val="auto"/>
                <w:sz w:val="24"/>
                <w:szCs w:val="24"/>
                <w:highlight w:val="none"/>
                <w:lang w:val="zh-CN"/>
              </w:rPr>
              <w:t>章)</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856" w:type="dxa"/>
            <w:tcBorders>
              <w:tl2br w:val="nil"/>
              <w:tr2bl w:val="nil"/>
            </w:tcBorders>
            <w:vAlign w:val="center"/>
          </w:tcPr>
          <w:p>
            <w:pPr>
              <w:spacing w:line="240" w:lineRule="auto"/>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1750" w:type="dxa"/>
            <w:tcBorders>
              <w:tl2br w:val="nil"/>
              <w:tr2bl w:val="nil"/>
            </w:tcBorders>
            <w:vAlign w:val="center"/>
          </w:tcPr>
          <w:p>
            <w:pPr>
              <w:spacing w:line="240" w:lineRule="auto"/>
              <w:jc w:val="center"/>
              <w:rPr>
                <w:snapToGrid w:val="0"/>
                <w:color w:val="auto"/>
                <w:sz w:val="24"/>
                <w:szCs w:val="24"/>
                <w:highlight w:val="none"/>
              </w:rPr>
            </w:pPr>
            <w:r>
              <w:rPr>
                <w:rFonts w:hint="eastAsia" w:ascii="宋体" w:hAnsi="宋体" w:eastAsia="宋体" w:cs="宋体"/>
                <w:b/>
                <w:bCs/>
                <w:color w:val="auto"/>
                <w:sz w:val="24"/>
                <w:szCs w:val="24"/>
                <w:highlight w:val="none"/>
              </w:rPr>
              <w:t>是否专门面向中小企业</w:t>
            </w:r>
          </w:p>
        </w:tc>
        <w:tc>
          <w:tcPr>
            <w:tcW w:w="6898" w:type="dxa"/>
            <w:tcBorders>
              <w:tl2br w:val="nil"/>
              <w:tr2bl w:val="nil"/>
            </w:tcBorders>
            <w:vAlign w:val="center"/>
          </w:tcPr>
          <w:p>
            <w:pPr>
              <w:spacing w:line="240" w:lineRule="auto"/>
              <w:jc w:val="both"/>
              <w:rPr>
                <w:snapToGrid w:val="0"/>
                <w:color w:val="auto"/>
                <w:sz w:val="24"/>
                <w:szCs w:val="24"/>
                <w:highlight w:val="none"/>
              </w:rPr>
            </w:pPr>
            <w:r>
              <w:rPr>
                <w:rFonts w:hint="eastAsia" w:ascii="宋体" w:hAnsi="宋体" w:eastAsia="宋体" w:cs="宋体"/>
                <w:b/>
                <w:bCs/>
                <w:color w:val="auto"/>
                <w:sz w:val="24"/>
                <w:szCs w:val="24"/>
                <w:highlight w:val="none"/>
              </w:rPr>
              <w:t>本项目专门面向中小企业：是□；否</w:t>
            </w:r>
            <w:r>
              <w:rPr>
                <w:rFonts w:hint="eastAsia" w:ascii="宋体" w:hAnsi="宋体" w:eastAsia="宋体" w:cs="宋体"/>
                <w:b/>
                <w:bCs/>
                <w:color w:val="auto"/>
                <w:sz w:val="24"/>
                <w:szCs w:val="24"/>
                <w:highlight w:val="none"/>
                <w:lang w:eastAsia="zh-CN"/>
              </w:rPr>
              <w:sym w:font="Wingdings" w:char="00FE"/>
            </w:r>
            <w:r>
              <w:rPr>
                <w:rFonts w:hint="eastAsia" w:ascii="宋体" w:hAnsi="宋体" w:eastAsia="宋体" w:cs="宋体"/>
                <w:b/>
                <w:bCs/>
                <w:color w:val="auto"/>
                <w:sz w:val="24"/>
                <w:szCs w:val="24"/>
                <w:highlight w:val="none"/>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818" w:hRule="atLeast"/>
          <w:jc w:val="center"/>
        </w:trPr>
        <w:tc>
          <w:tcPr>
            <w:tcW w:w="856" w:type="dxa"/>
            <w:tcBorders>
              <w:tl2br w:val="nil"/>
              <w:tr2bl w:val="nil"/>
            </w:tcBorders>
            <w:vAlign w:val="center"/>
          </w:tcPr>
          <w:p>
            <w:pPr>
              <w:spacing w:line="240" w:lineRule="auto"/>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1750" w:type="dxa"/>
            <w:tcBorders>
              <w:tl2br w:val="nil"/>
              <w:tr2bl w:val="nil"/>
            </w:tcBorders>
          </w:tcPr>
          <w:p>
            <w:pPr>
              <w:spacing w:line="240" w:lineRule="auto"/>
              <w:jc w:val="center"/>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联合体投标</w:t>
            </w:r>
          </w:p>
          <w:p>
            <w:pPr>
              <w:spacing w:line="240" w:lineRule="auto"/>
              <w:jc w:val="center"/>
              <w:rPr>
                <w:rFonts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(实质性要求)</w:t>
            </w:r>
          </w:p>
        </w:tc>
        <w:tc>
          <w:tcPr>
            <w:tcW w:w="6898" w:type="dxa"/>
            <w:tcBorders>
              <w:tl2br w:val="nil"/>
              <w:tr2bl w:val="nil"/>
            </w:tcBorders>
            <w:vAlign w:val="center"/>
          </w:tcPr>
          <w:p>
            <w:pPr>
              <w:spacing w:line="240" w:lineRule="auto"/>
              <w:jc w:val="both"/>
              <w:rPr>
                <w:rFonts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本项目不允许联合体投标。</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98" w:hRule="atLeast"/>
          <w:jc w:val="center"/>
        </w:trPr>
        <w:tc>
          <w:tcPr>
            <w:tcW w:w="856" w:type="dxa"/>
            <w:tcBorders>
              <w:tl2br w:val="nil"/>
              <w:tr2bl w:val="nil"/>
            </w:tcBorders>
            <w:vAlign w:val="center"/>
          </w:tcPr>
          <w:p>
            <w:pPr>
              <w:spacing w:line="240" w:lineRule="auto"/>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1750" w:type="dxa"/>
            <w:tcBorders>
              <w:tl2br w:val="nil"/>
              <w:tr2bl w:val="nil"/>
            </w:tcBorders>
            <w:vAlign w:val="center"/>
          </w:tcPr>
          <w:p>
            <w:pPr>
              <w:spacing w:line="240" w:lineRule="auto"/>
              <w:jc w:val="center"/>
              <w:rPr>
                <w:rFonts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进口产品</w:t>
            </w:r>
          </w:p>
        </w:tc>
        <w:tc>
          <w:tcPr>
            <w:tcW w:w="6898" w:type="dxa"/>
            <w:tcBorders>
              <w:tl2br w:val="nil"/>
              <w:tr2bl w:val="nil"/>
            </w:tcBorders>
            <w:vAlign w:val="center"/>
          </w:tcPr>
          <w:p>
            <w:pPr>
              <w:spacing w:line="240" w:lineRule="auto"/>
              <w:jc w:val="both"/>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本项目不涉及进口产品。</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556" w:hRule="atLeast"/>
          <w:jc w:val="center"/>
        </w:trPr>
        <w:tc>
          <w:tcPr>
            <w:tcW w:w="856" w:type="dxa"/>
            <w:tcBorders>
              <w:tl2br w:val="nil"/>
              <w:tr2bl w:val="nil"/>
            </w:tcBorders>
            <w:vAlign w:val="center"/>
          </w:tcPr>
          <w:p>
            <w:pPr>
              <w:spacing w:line="240" w:lineRule="auto"/>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1750" w:type="dxa"/>
            <w:tcBorders>
              <w:tl2br w:val="nil"/>
              <w:tr2bl w:val="nil"/>
            </w:tcBorders>
            <w:vAlign w:val="center"/>
          </w:tcPr>
          <w:p>
            <w:pPr>
              <w:spacing w:line="240" w:lineRule="auto"/>
              <w:jc w:val="center"/>
              <w:rPr>
                <w:color w:val="auto"/>
                <w:sz w:val="24"/>
                <w:szCs w:val="24"/>
                <w:highlight w:val="none"/>
              </w:rPr>
            </w:pPr>
          </w:p>
          <w:p>
            <w:pPr>
              <w:spacing w:line="240" w:lineRule="auto"/>
              <w:jc w:val="center"/>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低于成本价不正当竞争预防措施</w:t>
            </w:r>
          </w:p>
          <w:p>
            <w:pPr>
              <w:spacing w:line="240" w:lineRule="auto"/>
              <w:jc w:val="center"/>
              <w:rPr>
                <w:rFonts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(实质性要求)</w:t>
            </w:r>
          </w:p>
        </w:tc>
        <w:tc>
          <w:tcPr>
            <w:tcW w:w="6898" w:type="dxa"/>
            <w:tcBorders>
              <w:tl2br w:val="nil"/>
              <w:tr2bl w:val="nil"/>
            </w:tcBorders>
          </w:tcPr>
          <w:p>
            <w:pPr>
              <w:spacing w:line="240" w:lineRule="auto"/>
              <w:ind w:firstLine="481"/>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ascii="宋体" w:hAnsi="宋体" w:eastAsia="宋体" w:cs="宋体"/>
                <w:color w:val="auto"/>
                <w:sz w:val="24"/>
                <w:szCs w:val="24"/>
                <w:highlight w:val="none"/>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供应商书面说明应当按照国家财务会计制度的规定要求，逐项就供应商提供的货物、工程和服务的主营业务成本 (应根据供应商企业类型予以区别) 、税金及附加、销售费用、管理费用、财务费用等成本构成事项详细陈述。</w:t>
            </w:r>
          </w:p>
          <w:p>
            <w:pPr>
              <w:spacing w:line="240" w:lineRule="auto"/>
              <w:ind w:firstLine="481"/>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ascii="宋体" w:hAnsi="宋体" w:eastAsia="宋体" w:cs="宋体"/>
                <w:color w:val="auto"/>
                <w:sz w:val="24"/>
                <w:szCs w:val="24"/>
                <w:highlight w:val="none"/>
              </w:rPr>
              <w:t>供应商书面说明应当签字确认或者加盖公章，否则无效。书面说明的签字确认，供应商为法人的，由其法定代表人或</w:t>
            </w:r>
            <w:r>
              <w:rPr>
                <w:rFonts w:hint="eastAsia" w:ascii="宋体" w:hAnsi="宋体" w:eastAsia="宋体" w:cs="宋体"/>
                <w:color w:val="auto"/>
                <w:sz w:val="24"/>
                <w:szCs w:val="24"/>
                <w:highlight w:val="none"/>
              </w:rPr>
              <w:t>其授权代表</w:t>
            </w:r>
            <w:r>
              <w:rPr>
                <w:rFonts w:ascii="宋体" w:hAnsi="宋体" w:eastAsia="宋体" w:cs="宋体"/>
                <w:color w:val="auto"/>
                <w:sz w:val="24"/>
                <w:szCs w:val="24"/>
                <w:highlight w:val="none"/>
              </w:rPr>
              <w:t>签字确认；供应商为其他组织的，由其主要负责人或</w:t>
            </w:r>
            <w:r>
              <w:rPr>
                <w:rFonts w:hint="eastAsia" w:ascii="宋体" w:hAnsi="宋体" w:eastAsia="宋体" w:cs="宋体"/>
                <w:color w:val="auto"/>
                <w:sz w:val="24"/>
                <w:szCs w:val="24"/>
                <w:highlight w:val="none"/>
              </w:rPr>
              <w:t>其授权代表</w:t>
            </w:r>
            <w:r>
              <w:rPr>
                <w:rFonts w:ascii="宋体" w:hAnsi="宋体" w:eastAsia="宋体" w:cs="宋体"/>
                <w:color w:val="auto"/>
                <w:sz w:val="24"/>
                <w:szCs w:val="24"/>
                <w:highlight w:val="none"/>
              </w:rPr>
              <w:t>签字确认；供应商为自然人的，由其本人或</w:t>
            </w:r>
            <w:r>
              <w:rPr>
                <w:rFonts w:hint="eastAsia" w:ascii="宋体" w:hAnsi="宋体" w:eastAsia="宋体" w:cs="宋体"/>
                <w:color w:val="auto"/>
                <w:sz w:val="24"/>
                <w:szCs w:val="24"/>
                <w:highlight w:val="none"/>
              </w:rPr>
              <w:t>其授权代表</w:t>
            </w:r>
            <w:r>
              <w:rPr>
                <w:rFonts w:ascii="宋体" w:hAnsi="宋体" w:eastAsia="宋体" w:cs="宋体"/>
                <w:color w:val="auto"/>
                <w:sz w:val="24"/>
                <w:szCs w:val="24"/>
                <w:highlight w:val="none"/>
              </w:rPr>
              <w:t>签字确认。</w:t>
            </w:r>
          </w:p>
          <w:p>
            <w:pPr>
              <w:spacing w:line="240" w:lineRule="auto"/>
              <w:ind w:firstLine="481"/>
              <w:rPr>
                <w:rFonts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3.</w:t>
            </w:r>
            <w:r>
              <w:rPr>
                <w:rFonts w:ascii="宋体" w:hAnsi="宋体" w:eastAsia="宋体" w:cs="宋体"/>
                <w:color w:val="auto"/>
                <w:sz w:val="24"/>
                <w:szCs w:val="24"/>
                <w:highlight w:val="none"/>
              </w:rPr>
              <w:t>供应商提供书面说明后，评标委员会应当结合采购项目采购需求、专业实际情况、供应商财务状况报告、与其他供应商比较情况等就供应商书面说明进行审查评价。供应商拒绝或者变相拒绝提供有效书面说明或者书面说明不能证明其报价合理性的，评标委员会应当将其投标文件作为无效处理。</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124" w:hRule="atLeast"/>
          <w:jc w:val="center"/>
        </w:trPr>
        <w:tc>
          <w:tcPr>
            <w:tcW w:w="856" w:type="dxa"/>
            <w:tcBorders>
              <w:tl2br w:val="nil"/>
              <w:tr2bl w:val="nil"/>
            </w:tcBorders>
            <w:vAlign w:val="center"/>
          </w:tcPr>
          <w:p>
            <w:pPr>
              <w:spacing w:line="240" w:lineRule="auto"/>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p>
        </w:tc>
        <w:tc>
          <w:tcPr>
            <w:tcW w:w="1750" w:type="dxa"/>
            <w:tcBorders>
              <w:tl2br w:val="nil"/>
              <w:tr2bl w:val="nil"/>
            </w:tcBorders>
            <w:vAlign w:val="center"/>
          </w:tcPr>
          <w:p>
            <w:pPr>
              <w:spacing w:before="75" w:line="240" w:lineRule="auto"/>
              <w:jc w:val="center"/>
              <w:rPr>
                <w:rFonts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促进中小企业发展</w:t>
            </w:r>
          </w:p>
        </w:tc>
        <w:tc>
          <w:tcPr>
            <w:tcW w:w="6898" w:type="dxa"/>
            <w:tcBorders>
              <w:tl2br w:val="nil"/>
              <w:tr2bl w:val="nil"/>
            </w:tcBorders>
          </w:tcPr>
          <w:p>
            <w:pPr>
              <w:spacing w:line="240" w:lineRule="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促进中小企业发展 (监狱企业、残疾人福利性单位视同小微企业)。</w:t>
            </w:r>
          </w:p>
          <w:p>
            <w:pPr>
              <w:spacing w:before="4" w:line="240" w:lineRule="auto"/>
              <w:ind w:right="4"/>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1.根据《政府采购促进中小企业发展管理办法》（财库[2020]46号）和《关于进一步加大政府采购支持中小企业力度的通知》（财库〔2022〕19 号）的规定，对小型和微型企业产品的价格给予10%的价格扣除，用扣除后的价格参与评审。</w:t>
            </w:r>
          </w:p>
          <w:p>
            <w:pPr>
              <w:spacing w:before="4" w:line="240" w:lineRule="auto"/>
              <w:ind w:right="4"/>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参加采购活动的中小企业应当提供《中小企业声明函》原件。监狱企业应当提供《监狱企业证明》原件。残疾人福利性单位应当提供《残疾人福利性单位声明函》原件。未提供的，视为放弃享受小微企业价格扣除优惠政策。</w:t>
            </w:r>
          </w:p>
          <w:p>
            <w:pPr>
              <w:spacing w:before="4" w:line="240" w:lineRule="auto"/>
              <w:ind w:right="4"/>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3．根据《三部门联合发布关于促进残疾人就业政府采购政策的通知》（财库 〔2017〕141 号）的规定，残疾人福利性单位属于小型、微型企业的，不重复享受政策。参加采购活动的残疾人福利性单位应当提供《残疾人福利性单位声明函》原件（本项目成交供应商属于残疾人福利性单位的，在结果公告中将同时公示其声明函）。 </w:t>
            </w:r>
          </w:p>
          <w:p>
            <w:pPr>
              <w:spacing w:before="4" w:line="240" w:lineRule="auto"/>
              <w:ind w:right="4"/>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4.供应商在参加采购活动时，提供以上虚假声明或证明材料的，按《中华人民共和国政府采购法》第七十七条规定处理。 </w:t>
            </w:r>
          </w:p>
          <w:p>
            <w:pPr>
              <w:spacing w:line="24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r>
              <w:rPr>
                <w:rFonts w:ascii="宋体" w:hAnsi="宋体" w:eastAsia="宋体" w:cs="宋体"/>
                <w:color w:val="auto"/>
                <w:sz w:val="24"/>
                <w:szCs w:val="24"/>
                <w:highlight w:val="none"/>
              </w:rPr>
              <w:t>符合中小企业划型标准的个体工商户，在采购活动中视同中小企业。</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124" w:hRule="atLeast"/>
          <w:jc w:val="center"/>
        </w:trPr>
        <w:tc>
          <w:tcPr>
            <w:tcW w:w="856" w:type="dxa"/>
            <w:tcBorders>
              <w:tl2br w:val="nil"/>
              <w:tr2bl w:val="nil"/>
            </w:tcBorders>
            <w:vAlign w:val="center"/>
          </w:tcPr>
          <w:p>
            <w:pPr>
              <w:spacing w:before="75" w:line="240" w:lineRule="auto"/>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9</w:t>
            </w:r>
          </w:p>
        </w:tc>
        <w:tc>
          <w:tcPr>
            <w:tcW w:w="1750" w:type="dxa"/>
            <w:tcBorders>
              <w:tl2br w:val="nil"/>
              <w:tr2bl w:val="nil"/>
            </w:tcBorders>
            <w:vAlign w:val="center"/>
          </w:tcPr>
          <w:p>
            <w:pPr>
              <w:spacing w:line="240" w:lineRule="auto"/>
              <w:jc w:val="center"/>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rPr>
              <w:t>本项目标的名称及所属行业</w:t>
            </w:r>
          </w:p>
        </w:tc>
        <w:tc>
          <w:tcPr>
            <w:tcW w:w="6898" w:type="dxa"/>
            <w:tcBorders>
              <w:tl2br w:val="nil"/>
              <w:tr2bl w:val="nil"/>
            </w:tcBorders>
            <w:vAlign w:val="center"/>
          </w:tcPr>
          <w:p>
            <w:pPr>
              <w:spacing w:line="240" w:lineRule="auto"/>
              <w:rPr>
                <w:rFonts w:hint="eastAsia" w:ascii="宋体" w:hAnsi="宋体" w:eastAsia="宋体" w:cs="宋体"/>
                <w:b/>
                <w:bCs/>
                <w:color w:val="auto"/>
                <w:sz w:val="24"/>
                <w:szCs w:val="24"/>
                <w:highlight w:val="none"/>
                <w:vertAlign w:val="baseline"/>
              </w:rPr>
            </w:pPr>
            <w:r>
              <w:rPr>
                <w:rFonts w:hint="eastAsia" w:ascii="宋体" w:hAnsi="宋体" w:eastAsia="宋体" w:cs="宋体"/>
                <w:b/>
                <w:bCs/>
                <w:color w:val="auto"/>
                <w:sz w:val="24"/>
                <w:szCs w:val="24"/>
                <w:highlight w:val="none"/>
              </w:rPr>
              <w:t>1.标的名称：</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1"/>
              <w:gridCol w:w="39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trPr>
              <w:tc>
                <w:tcPr>
                  <w:tcW w:w="921" w:type="dxa"/>
                  <w:vMerge w:val="restart"/>
                  <w:vAlign w:val="center"/>
                </w:tcPr>
                <w:p>
                  <w:pPr>
                    <w:spacing w:line="360" w:lineRule="exact"/>
                    <w:jc w:val="center"/>
                    <w:rPr>
                      <w:rFonts w:hint="eastAsia" w:ascii="宋体" w:hAnsi="宋体" w:eastAsia="宋体" w:cs="宋体"/>
                      <w:b w:val="0"/>
                      <w:bCs w:val="0"/>
                      <w:color w:val="auto"/>
                      <w:sz w:val="24"/>
                      <w:szCs w:val="24"/>
                      <w:highlight w:val="none"/>
                      <w:vertAlign w:val="baseline"/>
                    </w:rPr>
                  </w:pPr>
                  <w:r>
                    <w:rPr>
                      <w:rFonts w:hint="eastAsia" w:ascii="宋体" w:hAnsi="宋体" w:eastAsia="宋体" w:cs="宋体"/>
                      <w:color w:val="auto"/>
                      <w:sz w:val="24"/>
                      <w:szCs w:val="24"/>
                      <w:highlight w:val="none"/>
                    </w:rPr>
                    <w:t>军训服套装</w:t>
                  </w:r>
                </w:p>
              </w:tc>
              <w:tc>
                <w:tcPr>
                  <w:tcW w:w="3998" w:type="dxa"/>
                  <w:vAlign w:val="center"/>
                </w:tcPr>
                <w:p>
                  <w:pPr>
                    <w:spacing w:line="360" w:lineRule="exact"/>
                    <w:jc w:val="center"/>
                    <w:rPr>
                      <w:rFonts w:hint="eastAsia" w:ascii="宋体" w:hAnsi="宋体" w:eastAsia="宋体" w:cs="宋体"/>
                      <w:b w:val="0"/>
                      <w:bCs w:val="0"/>
                      <w:color w:val="auto"/>
                      <w:sz w:val="24"/>
                      <w:szCs w:val="24"/>
                      <w:highlight w:val="none"/>
                      <w:vertAlign w:val="baseline"/>
                    </w:rPr>
                  </w:pPr>
                  <w:r>
                    <w:rPr>
                      <w:rFonts w:hint="eastAsia" w:ascii="宋体" w:hAnsi="宋体" w:eastAsia="宋体" w:cs="宋体"/>
                      <w:color w:val="auto"/>
                      <w:sz w:val="24"/>
                      <w:szCs w:val="24"/>
                      <w:highlight w:val="none"/>
                    </w:rPr>
                    <w:t>迷彩帽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 w:hRule="atLeast"/>
              </w:trPr>
              <w:tc>
                <w:tcPr>
                  <w:tcW w:w="921" w:type="dxa"/>
                  <w:vMerge w:val="continue"/>
                  <w:vAlign w:val="center"/>
                </w:tcPr>
                <w:p>
                  <w:pPr>
                    <w:spacing w:line="360" w:lineRule="exact"/>
                    <w:jc w:val="center"/>
                    <w:rPr>
                      <w:rFonts w:hint="eastAsia" w:ascii="宋体" w:hAnsi="宋体" w:eastAsia="宋体" w:cs="宋体"/>
                      <w:b w:val="0"/>
                      <w:bCs w:val="0"/>
                      <w:color w:val="auto"/>
                      <w:sz w:val="24"/>
                      <w:szCs w:val="24"/>
                      <w:highlight w:val="none"/>
                      <w:vertAlign w:val="baseline"/>
                    </w:rPr>
                  </w:pPr>
                </w:p>
              </w:tc>
              <w:tc>
                <w:tcPr>
                  <w:tcW w:w="3998" w:type="dxa"/>
                  <w:vAlign w:val="center"/>
                </w:tcPr>
                <w:p>
                  <w:pPr>
                    <w:spacing w:line="360" w:lineRule="exact"/>
                    <w:jc w:val="center"/>
                    <w:rPr>
                      <w:rFonts w:hint="eastAsia" w:ascii="宋体" w:hAnsi="宋体" w:eastAsia="宋体" w:cs="宋体"/>
                      <w:b w:val="0"/>
                      <w:bCs w:val="0"/>
                      <w:color w:val="auto"/>
                      <w:sz w:val="24"/>
                      <w:szCs w:val="24"/>
                      <w:highlight w:val="none"/>
                      <w:vertAlign w:val="baseline"/>
                    </w:rPr>
                  </w:pPr>
                  <w:r>
                    <w:rPr>
                      <w:rFonts w:hint="eastAsia" w:ascii="宋体" w:hAnsi="宋体" w:eastAsia="宋体" w:cs="宋体"/>
                      <w:color w:val="auto"/>
                      <w:sz w:val="24"/>
                      <w:szCs w:val="24"/>
                      <w:highlight w:val="none"/>
                    </w:rPr>
                    <w:t>长袖迷彩军训服（含上衣、下装）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921" w:type="dxa"/>
                  <w:vMerge w:val="continue"/>
                  <w:vAlign w:val="center"/>
                </w:tcPr>
                <w:p>
                  <w:pPr>
                    <w:spacing w:line="360" w:lineRule="exact"/>
                    <w:jc w:val="center"/>
                    <w:rPr>
                      <w:rFonts w:hint="eastAsia" w:ascii="宋体" w:hAnsi="宋体" w:eastAsia="宋体" w:cs="宋体"/>
                      <w:b w:val="0"/>
                      <w:bCs w:val="0"/>
                      <w:color w:val="auto"/>
                      <w:sz w:val="24"/>
                      <w:szCs w:val="24"/>
                      <w:highlight w:val="none"/>
                      <w:vertAlign w:val="baseline"/>
                    </w:rPr>
                  </w:pPr>
                </w:p>
              </w:tc>
              <w:tc>
                <w:tcPr>
                  <w:tcW w:w="3998" w:type="dxa"/>
                  <w:vAlign w:val="center"/>
                </w:tcPr>
                <w:p>
                  <w:pPr>
                    <w:spacing w:line="360" w:lineRule="exact"/>
                    <w:jc w:val="center"/>
                    <w:rPr>
                      <w:rFonts w:hint="eastAsia" w:ascii="宋体" w:hAnsi="宋体" w:eastAsia="宋体" w:cs="宋体"/>
                      <w:b w:val="0"/>
                      <w:bCs w:val="0"/>
                      <w:color w:val="auto"/>
                      <w:sz w:val="24"/>
                      <w:szCs w:val="24"/>
                      <w:highlight w:val="none"/>
                      <w:vertAlign w:val="baseline"/>
                    </w:rPr>
                  </w:pPr>
                  <w:r>
                    <w:rPr>
                      <w:rFonts w:hint="eastAsia" w:ascii="宋体" w:hAnsi="宋体" w:eastAsia="宋体" w:cs="宋体"/>
                      <w:color w:val="auto"/>
                      <w:sz w:val="24"/>
                      <w:szCs w:val="24"/>
                      <w:highlight w:val="none"/>
                    </w:rPr>
                    <w:t>迷彩T恤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921" w:type="dxa"/>
                  <w:vMerge w:val="continue"/>
                  <w:vAlign w:val="center"/>
                </w:tcPr>
                <w:p>
                  <w:pPr>
                    <w:spacing w:line="360" w:lineRule="exact"/>
                    <w:jc w:val="center"/>
                    <w:rPr>
                      <w:rFonts w:hint="eastAsia" w:ascii="宋体" w:hAnsi="宋体" w:eastAsia="宋体" w:cs="宋体"/>
                      <w:b w:val="0"/>
                      <w:bCs w:val="0"/>
                      <w:color w:val="auto"/>
                      <w:sz w:val="24"/>
                      <w:szCs w:val="24"/>
                      <w:highlight w:val="none"/>
                      <w:vertAlign w:val="baseline"/>
                    </w:rPr>
                  </w:pPr>
                </w:p>
              </w:tc>
              <w:tc>
                <w:tcPr>
                  <w:tcW w:w="3998" w:type="dxa"/>
                  <w:vAlign w:val="center"/>
                </w:tcPr>
                <w:p>
                  <w:pPr>
                    <w:spacing w:line="360" w:lineRule="exact"/>
                    <w:jc w:val="center"/>
                    <w:rPr>
                      <w:rFonts w:hint="eastAsia" w:ascii="宋体" w:hAnsi="宋体" w:eastAsia="宋体" w:cs="宋体"/>
                      <w:b w:val="0"/>
                      <w:bCs w:val="0"/>
                      <w:color w:val="auto"/>
                      <w:sz w:val="24"/>
                      <w:szCs w:val="24"/>
                      <w:highlight w:val="none"/>
                      <w:vertAlign w:val="baseline"/>
                    </w:rPr>
                  </w:pPr>
                  <w:r>
                    <w:rPr>
                      <w:rFonts w:hint="eastAsia" w:ascii="宋体" w:hAnsi="宋体" w:eastAsia="宋体" w:cs="宋体"/>
                      <w:color w:val="auto"/>
                      <w:sz w:val="24"/>
                      <w:szCs w:val="24"/>
                      <w:highlight w:val="none"/>
                    </w:rPr>
                    <w:t>编织外腰带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921" w:type="dxa"/>
                  <w:vMerge w:val="continue"/>
                  <w:vAlign w:val="center"/>
                </w:tcPr>
                <w:p>
                  <w:pPr>
                    <w:spacing w:line="360" w:lineRule="exact"/>
                    <w:jc w:val="center"/>
                    <w:rPr>
                      <w:rFonts w:hint="eastAsia" w:ascii="宋体" w:hAnsi="宋体" w:eastAsia="宋体" w:cs="宋体"/>
                      <w:b w:val="0"/>
                      <w:bCs w:val="0"/>
                      <w:color w:val="auto"/>
                      <w:sz w:val="24"/>
                      <w:szCs w:val="24"/>
                      <w:highlight w:val="none"/>
                      <w:vertAlign w:val="baseline"/>
                    </w:rPr>
                  </w:pPr>
                </w:p>
              </w:tc>
              <w:tc>
                <w:tcPr>
                  <w:tcW w:w="3998" w:type="dxa"/>
                  <w:vAlign w:val="center"/>
                </w:tcPr>
                <w:p>
                  <w:pPr>
                    <w:spacing w:line="360" w:lineRule="exact"/>
                    <w:jc w:val="center"/>
                    <w:rPr>
                      <w:rFonts w:hint="eastAsia" w:ascii="宋体" w:hAnsi="宋体" w:eastAsia="宋体" w:cs="宋体"/>
                      <w:b w:val="0"/>
                      <w:bCs w:val="0"/>
                      <w:color w:val="auto"/>
                      <w:sz w:val="24"/>
                      <w:szCs w:val="24"/>
                      <w:highlight w:val="none"/>
                      <w:vertAlign w:val="baseline"/>
                    </w:rPr>
                  </w:pPr>
                  <w:r>
                    <w:rPr>
                      <w:rFonts w:hint="eastAsia" w:ascii="宋体" w:hAnsi="宋体" w:eastAsia="宋体" w:cs="宋体"/>
                      <w:color w:val="auto"/>
                      <w:sz w:val="24"/>
                      <w:szCs w:val="24"/>
                      <w:highlight w:val="none"/>
                    </w:rPr>
                    <w:t>迷彩胶鞋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921" w:type="dxa"/>
                  <w:vMerge w:val="continue"/>
                  <w:vAlign w:val="center"/>
                </w:tcPr>
                <w:p>
                  <w:pPr>
                    <w:spacing w:line="360" w:lineRule="exact"/>
                    <w:jc w:val="center"/>
                    <w:rPr>
                      <w:rFonts w:hint="eastAsia" w:ascii="宋体" w:hAnsi="宋体" w:eastAsia="宋体" w:cs="宋体"/>
                      <w:b w:val="0"/>
                      <w:bCs w:val="0"/>
                      <w:color w:val="auto"/>
                      <w:sz w:val="24"/>
                      <w:szCs w:val="24"/>
                      <w:highlight w:val="none"/>
                      <w:vertAlign w:val="baseline"/>
                    </w:rPr>
                  </w:pPr>
                </w:p>
              </w:tc>
              <w:tc>
                <w:tcPr>
                  <w:tcW w:w="3998" w:type="dxa"/>
                  <w:vAlign w:val="center"/>
                </w:tcPr>
                <w:p>
                  <w:pPr>
                    <w:spacing w:line="360" w:lineRule="exact"/>
                    <w:jc w:val="center"/>
                    <w:rPr>
                      <w:rFonts w:hint="eastAsia" w:ascii="宋体" w:hAnsi="宋体" w:eastAsia="宋体" w:cs="宋体"/>
                      <w:b w:val="0"/>
                      <w:bCs w:val="0"/>
                      <w:color w:val="auto"/>
                      <w:sz w:val="24"/>
                      <w:szCs w:val="24"/>
                      <w:highlight w:val="none"/>
                      <w:vertAlign w:val="baseline"/>
                    </w:rPr>
                  </w:pPr>
                  <w:r>
                    <w:rPr>
                      <w:rFonts w:hint="eastAsia" w:ascii="宋体" w:hAnsi="宋体" w:eastAsia="宋体" w:cs="宋体"/>
                      <w:color w:val="auto"/>
                      <w:sz w:val="24"/>
                      <w:szCs w:val="24"/>
                      <w:highlight w:val="none"/>
                    </w:rPr>
                    <w:t>皮内腰带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921" w:type="dxa"/>
                  <w:vMerge w:val="continue"/>
                  <w:vAlign w:val="center"/>
                </w:tcPr>
                <w:p>
                  <w:pPr>
                    <w:spacing w:line="360" w:lineRule="exact"/>
                    <w:jc w:val="center"/>
                    <w:rPr>
                      <w:rFonts w:hint="eastAsia" w:ascii="宋体" w:hAnsi="宋体" w:eastAsia="宋体" w:cs="宋体"/>
                      <w:b w:val="0"/>
                      <w:bCs w:val="0"/>
                      <w:color w:val="auto"/>
                      <w:sz w:val="24"/>
                      <w:szCs w:val="24"/>
                      <w:highlight w:val="none"/>
                      <w:vertAlign w:val="baseline"/>
                    </w:rPr>
                  </w:pPr>
                </w:p>
              </w:tc>
              <w:tc>
                <w:tcPr>
                  <w:tcW w:w="3998" w:type="dxa"/>
                  <w:vAlign w:val="center"/>
                </w:tcPr>
                <w:p>
                  <w:pPr>
                    <w:spacing w:line="360" w:lineRule="exact"/>
                    <w:jc w:val="center"/>
                    <w:rPr>
                      <w:rFonts w:hint="eastAsia" w:ascii="宋体" w:hAnsi="宋体" w:eastAsia="宋体" w:cs="宋体"/>
                      <w:b w:val="0"/>
                      <w:bCs w:val="0"/>
                      <w:color w:val="auto"/>
                      <w:sz w:val="24"/>
                      <w:szCs w:val="24"/>
                      <w:highlight w:val="none"/>
                      <w:vertAlign w:val="baseline"/>
                    </w:rPr>
                  </w:pPr>
                  <w:r>
                    <w:rPr>
                      <w:rFonts w:hint="eastAsia" w:ascii="宋体" w:hAnsi="宋体" w:eastAsia="宋体" w:cs="宋体"/>
                      <w:color w:val="auto"/>
                      <w:sz w:val="24"/>
                      <w:szCs w:val="24"/>
                      <w:highlight w:val="none"/>
                    </w:rPr>
                    <w:t>肩章</w:t>
                  </w:r>
                </w:p>
              </w:tc>
            </w:tr>
          </w:tbl>
          <w:p>
            <w:pPr>
              <w:spacing w:line="240" w:lineRule="auto"/>
              <w:rPr>
                <w:rFonts w:hint="eastAsia" w:ascii="宋体" w:hAnsi="宋体" w:eastAsia="宋体" w:cs="宋体"/>
                <w:b/>
                <w:bCs/>
                <w:color w:val="auto"/>
                <w:sz w:val="24"/>
                <w:szCs w:val="24"/>
                <w:highlight w:val="none"/>
              </w:rPr>
            </w:pPr>
          </w:p>
          <w:p>
            <w:pPr>
              <w:spacing w:line="240" w:lineRule="auto"/>
              <w:rPr>
                <w:rFonts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2.所属行业：</w:t>
            </w:r>
            <w:r>
              <w:rPr>
                <w:rFonts w:hint="eastAsia" w:ascii="宋体" w:hAnsi="宋体" w:eastAsia="宋体" w:cs="宋体"/>
                <w:b/>
                <w:bCs/>
                <w:color w:val="auto"/>
                <w:sz w:val="24"/>
                <w:szCs w:val="24"/>
                <w:highlight w:val="none"/>
                <w:lang w:eastAsia="zh-CN"/>
              </w:rPr>
              <w:t>工业</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915" w:hRule="atLeast"/>
          <w:jc w:val="center"/>
        </w:trPr>
        <w:tc>
          <w:tcPr>
            <w:tcW w:w="856" w:type="dxa"/>
            <w:tcBorders>
              <w:tl2br w:val="nil"/>
              <w:tr2bl w:val="nil"/>
            </w:tcBorders>
            <w:vAlign w:val="center"/>
          </w:tcPr>
          <w:p>
            <w:pPr>
              <w:spacing w:line="240" w:lineRule="auto"/>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10</w:t>
            </w:r>
          </w:p>
        </w:tc>
        <w:tc>
          <w:tcPr>
            <w:tcW w:w="1750" w:type="dxa"/>
            <w:tcBorders>
              <w:tl2br w:val="nil"/>
              <w:tr2bl w:val="nil"/>
            </w:tcBorders>
            <w:vAlign w:val="center"/>
          </w:tcPr>
          <w:p>
            <w:pPr>
              <w:spacing w:line="240" w:lineRule="auto"/>
              <w:jc w:val="center"/>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投标保证金</w:t>
            </w:r>
          </w:p>
        </w:tc>
        <w:tc>
          <w:tcPr>
            <w:tcW w:w="6898" w:type="dxa"/>
            <w:tcBorders>
              <w:tl2br w:val="nil"/>
              <w:tr2bl w:val="nil"/>
            </w:tcBorders>
            <w:vAlign w:val="center"/>
          </w:tcPr>
          <w:p>
            <w:pPr>
              <w:spacing w:line="240" w:lineRule="auto"/>
              <w:rPr>
                <w:rFonts w:ascii="宋体" w:hAnsi="宋体" w:eastAsia="宋体" w:cs="宋体"/>
                <w:color w:val="auto"/>
                <w:sz w:val="24"/>
                <w:szCs w:val="24"/>
                <w:highlight w:val="none"/>
              </w:rPr>
            </w:pPr>
            <w:r>
              <w:rPr>
                <w:rFonts w:hint="eastAsia" w:ascii="宋体" w:hAnsi="宋体" w:eastAsia="宋体" w:cs="宋体"/>
                <w:b/>
                <w:bCs/>
                <w:color w:val="auto"/>
                <w:sz w:val="24"/>
                <w:szCs w:val="24"/>
                <w:highlight w:val="none"/>
                <w:lang w:val="zh-CN"/>
              </w:rPr>
              <w:t>本项目不收取投标保证金。</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37" w:hRule="atLeast"/>
          <w:jc w:val="center"/>
        </w:trPr>
        <w:tc>
          <w:tcPr>
            <w:tcW w:w="856" w:type="dxa"/>
            <w:tcBorders>
              <w:tl2br w:val="nil"/>
              <w:tr2bl w:val="nil"/>
            </w:tcBorders>
            <w:vAlign w:val="center"/>
          </w:tcPr>
          <w:p>
            <w:pPr>
              <w:spacing w:line="240" w:lineRule="auto"/>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11</w:t>
            </w:r>
          </w:p>
        </w:tc>
        <w:tc>
          <w:tcPr>
            <w:tcW w:w="1750" w:type="dxa"/>
            <w:tcBorders>
              <w:tl2br w:val="nil"/>
              <w:tr2bl w:val="nil"/>
            </w:tcBorders>
            <w:vAlign w:val="center"/>
          </w:tcPr>
          <w:p>
            <w:pPr>
              <w:spacing w:line="240" w:lineRule="auto"/>
              <w:jc w:val="center"/>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履约保证金</w:t>
            </w:r>
          </w:p>
        </w:tc>
        <w:tc>
          <w:tcPr>
            <w:tcW w:w="6898" w:type="dxa"/>
            <w:tcBorders>
              <w:tl2br w:val="nil"/>
              <w:tr2bl w:val="nil"/>
            </w:tcBorders>
            <w:vAlign w:val="center"/>
          </w:tcPr>
          <w:p>
            <w:pPr>
              <w:spacing w:line="240" w:lineRule="auto"/>
              <w:jc w:val="both"/>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（1）履约保证金为</w:t>
            </w:r>
            <w:r>
              <w:rPr>
                <w:rFonts w:hint="eastAsia" w:ascii="宋体" w:hAnsi="宋体" w:eastAsia="宋体" w:cs="宋体"/>
                <w:b/>
                <w:bCs/>
                <w:color w:val="auto"/>
                <w:sz w:val="24"/>
                <w:szCs w:val="24"/>
                <w:highlight w:val="none"/>
                <w:lang w:val="en-US" w:eastAsia="zh-CN"/>
              </w:rPr>
              <w:t>30000元</w:t>
            </w:r>
            <w:r>
              <w:rPr>
                <w:rFonts w:hint="eastAsia" w:ascii="宋体" w:hAnsi="宋体" w:eastAsia="宋体" w:cs="宋体"/>
                <w:b/>
                <w:bCs/>
                <w:color w:val="auto"/>
                <w:sz w:val="24"/>
                <w:szCs w:val="24"/>
                <w:highlight w:val="none"/>
              </w:rPr>
              <w:t>，投标人应在中标通知书发出之日起至合同签订前以银行转账</w:t>
            </w:r>
            <w:r>
              <w:rPr>
                <w:rFonts w:hint="eastAsia" w:ascii="宋体" w:hAnsi="宋体" w:eastAsia="宋体" w:cs="宋体"/>
                <w:b/>
                <w:bCs/>
                <w:color w:val="auto"/>
                <w:sz w:val="24"/>
                <w:szCs w:val="24"/>
                <w:highlight w:val="none"/>
                <w:lang w:val="en-US" w:eastAsia="zh-CN"/>
              </w:rPr>
              <w:t>的</w:t>
            </w:r>
            <w:r>
              <w:rPr>
                <w:rFonts w:hint="eastAsia" w:ascii="宋体" w:hAnsi="宋体" w:eastAsia="宋体" w:cs="宋体"/>
                <w:b/>
                <w:bCs/>
                <w:color w:val="auto"/>
                <w:sz w:val="24"/>
                <w:szCs w:val="24"/>
                <w:highlight w:val="none"/>
              </w:rPr>
              <w:t>形式向</w:t>
            </w:r>
            <w:r>
              <w:rPr>
                <w:rFonts w:hint="eastAsia" w:ascii="宋体" w:hAnsi="宋体" w:eastAsia="宋体" w:cs="宋体"/>
                <w:b/>
                <w:bCs/>
                <w:color w:val="auto"/>
                <w:sz w:val="24"/>
                <w:szCs w:val="24"/>
                <w:highlight w:val="none"/>
                <w:lang w:eastAsia="zh-CN"/>
              </w:rPr>
              <w:t>招标人</w:t>
            </w:r>
            <w:r>
              <w:rPr>
                <w:rFonts w:hint="eastAsia" w:ascii="宋体" w:hAnsi="宋体" w:eastAsia="宋体" w:cs="宋体"/>
                <w:b/>
                <w:bCs/>
                <w:color w:val="auto"/>
                <w:sz w:val="24"/>
                <w:szCs w:val="24"/>
                <w:highlight w:val="none"/>
              </w:rPr>
              <w:t>提交履约保证金。</w:t>
            </w:r>
          </w:p>
          <w:p>
            <w:pPr>
              <w:spacing w:line="240" w:lineRule="auto"/>
              <w:jc w:val="both"/>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（2）履行合同约定(含售后服务)完毕且</w:t>
            </w:r>
            <w:r>
              <w:rPr>
                <w:rFonts w:hint="eastAsia" w:ascii="宋体" w:hAnsi="宋体" w:eastAsia="宋体" w:cs="宋体"/>
                <w:b/>
                <w:bCs/>
                <w:color w:val="auto"/>
                <w:sz w:val="24"/>
                <w:szCs w:val="24"/>
                <w:highlight w:val="none"/>
                <w:lang w:val="en-US" w:eastAsia="zh-CN"/>
              </w:rPr>
              <w:t>货物和售后服务全部</w:t>
            </w:r>
            <w:r>
              <w:rPr>
                <w:rFonts w:hint="eastAsia" w:ascii="宋体" w:hAnsi="宋体" w:eastAsia="宋体" w:cs="宋体"/>
                <w:b/>
                <w:bCs/>
                <w:color w:val="auto"/>
                <w:sz w:val="24"/>
                <w:szCs w:val="24"/>
                <w:highlight w:val="none"/>
              </w:rPr>
              <w:t>验收合格后，无质量问题和违约责任情况。10个日历天内无息退还投标人应退部分履约保证金。因</w:t>
            </w:r>
            <w:r>
              <w:rPr>
                <w:rFonts w:hint="eastAsia" w:ascii="宋体" w:hAnsi="宋体" w:eastAsia="宋体" w:cs="宋体"/>
                <w:b/>
                <w:bCs/>
                <w:color w:val="auto"/>
                <w:sz w:val="24"/>
                <w:szCs w:val="24"/>
                <w:highlight w:val="none"/>
                <w:lang w:eastAsia="zh-CN"/>
              </w:rPr>
              <w:t>招标人</w:t>
            </w:r>
            <w:r>
              <w:rPr>
                <w:rFonts w:hint="eastAsia" w:ascii="宋体" w:hAnsi="宋体" w:eastAsia="宋体" w:cs="宋体"/>
                <w:b/>
                <w:bCs/>
                <w:color w:val="auto"/>
                <w:sz w:val="24"/>
                <w:szCs w:val="24"/>
                <w:highlight w:val="none"/>
              </w:rPr>
              <w:t>原因逾期退还的，应当以未退还金额为基数，按合同订立时1年期贷款市场报价利率标准向投标人支付相应违约金，但违约金最高不得超过未退还金额的百分之二十。若因投标人不及时或未提供“收到退还履约保证金的收据”、“履约保证金退还申请”的，则</w:t>
            </w:r>
            <w:r>
              <w:rPr>
                <w:rFonts w:hint="eastAsia" w:ascii="宋体" w:hAnsi="宋体" w:eastAsia="宋体" w:cs="宋体"/>
                <w:b/>
                <w:bCs/>
                <w:color w:val="auto"/>
                <w:sz w:val="24"/>
                <w:szCs w:val="24"/>
                <w:highlight w:val="none"/>
                <w:lang w:eastAsia="zh-CN"/>
              </w:rPr>
              <w:t>招标人</w:t>
            </w:r>
            <w:r>
              <w:rPr>
                <w:rFonts w:hint="eastAsia" w:ascii="宋体" w:hAnsi="宋体" w:eastAsia="宋体" w:cs="宋体"/>
                <w:b/>
                <w:bCs/>
                <w:color w:val="auto"/>
                <w:sz w:val="24"/>
                <w:szCs w:val="24"/>
                <w:highlight w:val="none"/>
              </w:rPr>
              <w:t>不承担逾期退还违约责任。</w:t>
            </w:r>
          </w:p>
          <w:p>
            <w:pPr>
              <w:spacing w:line="240" w:lineRule="auto"/>
              <w:jc w:val="both"/>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（3）履约保证金汇入的银行及账号：</w:t>
            </w:r>
          </w:p>
          <w:p>
            <w:pPr>
              <w:spacing w:line="240" w:lineRule="auto"/>
              <w:jc w:val="both"/>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xml:space="preserve"> 收款账号：成都市技师学院</w:t>
            </w:r>
          </w:p>
          <w:p>
            <w:pPr>
              <w:spacing w:line="240" w:lineRule="auto"/>
              <w:jc w:val="both"/>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xml:space="preserve"> 开户行：工行四川成都分行郫都红光支行</w:t>
            </w:r>
          </w:p>
          <w:p>
            <w:pPr>
              <w:spacing w:line="240" w:lineRule="auto"/>
              <w:jc w:val="both"/>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xml:space="preserve"> 银行账号：4402054609100031151</w:t>
            </w:r>
          </w:p>
          <w:p>
            <w:pPr>
              <w:spacing w:line="240" w:lineRule="auto"/>
              <w:jc w:val="both"/>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4）履约保证金不予退还情形:一是投标人未按合同要求履行的，其履约保证金全部扣除。二是投标人缴纳了履约保证金，但因自身原因被取消成交资格或在成交公示期满之日起30个日历天(含法定节假日)内投标人不按招标文件确定的事项与</w:t>
            </w:r>
            <w:r>
              <w:rPr>
                <w:rFonts w:hint="eastAsia" w:ascii="宋体" w:hAnsi="宋体" w:eastAsia="宋体" w:cs="宋体"/>
                <w:b/>
                <w:bCs/>
                <w:color w:val="auto"/>
                <w:sz w:val="24"/>
                <w:szCs w:val="24"/>
                <w:highlight w:val="none"/>
                <w:lang w:eastAsia="zh-CN"/>
              </w:rPr>
              <w:t>招标人</w:t>
            </w:r>
            <w:r>
              <w:rPr>
                <w:rFonts w:hint="eastAsia" w:ascii="宋体" w:hAnsi="宋体" w:eastAsia="宋体" w:cs="宋体"/>
                <w:b/>
                <w:bCs/>
                <w:color w:val="auto"/>
                <w:sz w:val="24"/>
                <w:szCs w:val="24"/>
                <w:highlight w:val="none"/>
              </w:rPr>
              <w:t>签订合同的，其履约保证金不予退还。三是法律法规或合同约定的其他情形。</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536" w:hRule="atLeast"/>
          <w:jc w:val="center"/>
        </w:trPr>
        <w:tc>
          <w:tcPr>
            <w:tcW w:w="856" w:type="dxa"/>
            <w:tcBorders>
              <w:tl2br w:val="nil"/>
              <w:tr2bl w:val="nil"/>
            </w:tcBorders>
            <w:vAlign w:val="center"/>
          </w:tcPr>
          <w:p>
            <w:pPr>
              <w:spacing w:line="240" w:lineRule="auto"/>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12</w:t>
            </w:r>
          </w:p>
        </w:tc>
        <w:tc>
          <w:tcPr>
            <w:tcW w:w="1750" w:type="dxa"/>
            <w:tcBorders>
              <w:tl2br w:val="nil"/>
              <w:tr2bl w:val="nil"/>
            </w:tcBorders>
          </w:tcPr>
          <w:p>
            <w:pPr>
              <w:spacing w:line="240" w:lineRule="auto"/>
              <w:jc w:val="center"/>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合同分包</w:t>
            </w:r>
          </w:p>
          <w:p>
            <w:pPr>
              <w:spacing w:line="240" w:lineRule="auto"/>
              <w:jc w:val="center"/>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(实质性要求)</w:t>
            </w:r>
          </w:p>
        </w:tc>
        <w:tc>
          <w:tcPr>
            <w:tcW w:w="6898" w:type="dxa"/>
            <w:tcBorders>
              <w:tl2br w:val="nil"/>
              <w:tr2bl w:val="nil"/>
            </w:tcBorders>
            <w:vAlign w:val="center"/>
          </w:tcPr>
          <w:p>
            <w:pPr>
              <w:spacing w:line="240" w:lineRule="auto"/>
              <w:jc w:val="both"/>
              <w:rPr>
                <w:rFonts w:ascii="宋体" w:hAnsi="宋体" w:eastAsia="宋体" w:cs="宋体"/>
                <w:b/>
                <w:bCs/>
                <w:color w:val="auto"/>
                <w:sz w:val="24"/>
                <w:szCs w:val="24"/>
                <w:highlight w:val="none"/>
              </w:rPr>
            </w:pPr>
            <w:r>
              <w:rPr>
                <w:rFonts w:hint="eastAsia"/>
                <w:color w:val="auto"/>
                <w:sz w:val="24"/>
                <w:szCs w:val="24"/>
                <w:highlight w:val="none"/>
              </w:rPr>
              <w:t>本项目</w:t>
            </w:r>
            <w:r>
              <w:rPr>
                <w:rFonts w:hint="eastAsia" w:eastAsia="宋体"/>
                <w:color w:val="auto"/>
                <w:sz w:val="24"/>
                <w:szCs w:val="24"/>
                <w:highlight w:val="none"/>
                <w:lang w:val="en-US" w:eastAsia="zh-CN"/>
              </w:rPr>
              <w:t>不接受</w:t>
            </w:r>
            <w:r>
              <w:rPr>
                <w:rFonts w:hint="eastAsia"/>
                <w:color w:val="auto"/>
                <w:sz w:val="24"/>
                <w:szCs w:val="24"/>
                <w:highlight w:val="none"/>
              </w:rPr>
              <w:t>合同分包。</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501" w:hRule="atLeast"/>
          <w:jc w:val="center"/>
        </w:trPr>
        <w:tc>
          <w:tcPr>
            <w:tcW w:w="856" w:type="dxa"/>
            <w:tcBorders>
              <w:tl2br w:val="nil"/>
              <w:tr2bl w:val="nil"/>
            </w:tcBorders>
            <w:vAlign w:val="center"/>
          </w:tcPr>
          <w:p>
            <w:pPr>
              <w:spacing w:line="240" w:lineRule="auto"/>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13</w:t>
            </w:r>
          </w:p>
        </w:tc>
        <w:tc>
          <w:tcPr>
            <w:tcW w:w="1750" w:type="dxa"/>
            <w:tcBorders>
              <w:tl2br w:val="nil"/>
              <w:tr2bl w:val="nil"/>
            </w:tcBorders>
            <w:vAlign w:val="center"/>
          </w:tcPr>
          <w:p>
            <w:pPr>
              <w:spacing w:line="240" w:lineRule="auto"/>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询问</w:t>
            </w:r>
          </w:p>
        </w:tc>
        <w:tc>
          <w:tcPr>
            <w:tcW w:w="6898" w:type="dxa"/>
            <w:tcBorders>
              <w:tl2br w:val="nil"/>
              <w:tr2bl w:val="nil"/>
            </w:tcBorders>
            <w:vAlign w:val="center"/>
          </w:tcPr>
          <w:p>
            <w:pPr>
              <w:spacing w:line="240" w:lineRule="auto"/>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eastAsia="zh-CN"/>
              </w:rPr>
              <w:t>根据委托代理协议约定，投标人询问由四川铭信工程招标咨询有限公司负责答复</w:t>
            </w:r>
            <w:r>
              <w:rPr>
                <w:rFonts w:hint="eastAsia" w:ascii="宋体" w:hAnsi="宋体" w:eastAsia="宋体" w:cs="宋体"/>
                <w:color w:val="auto"/>
                <w:sz w:val="24"/>
                <w:szCs w:val="24"/>
                <w:highlight w:val="none"/>
                <w:lang w:val="zh-CN"/>
              </w:rPr>
              <w:t>。</w:t>
            </w:r>
          </w:p>
          <w:p>
            <w:pPr>
              <w:spacing w:line="240" w:lineRule="auto"/>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联系人：</w:t>
            </w:r>
            <w:r>
              <w:rPr>
                <w:rFonts w:hint="eastAsia" w:ascii="宋体" w:hAnsi="宋体" w:eastAsia="宋体" w:cs="宋体"/>
                <w:color w:val="auto"/>
                <w:sz w:val="24"/>
                <w:szCs w:val="24"/>
                <w:highlight w:val="none"/>
                <w:lang w:val="en-US" w:eastAsia="zh-CN"/>
              </w:rPr>
              <w:t>陈女士</w:t>
            </w:r>
            <w:r>
              <w:rPr>
                <w:rFonts w:hint="eastAsia" w:ascii="宋体" w:hAnsi="宋体" w:eastAsia="宋体" w:cs="宋体"/>
                <w:color w:val="auto"/>
                <w:sz w:val="24"/>
                <w:szCs w:val="24"/>
                <w:highlight w:val="none"/>
                <w:lang w:val="zh-CN"/>
              </w:rPr>
              <w:t xml:space="preserve"> </w:t>
            </w:r>
          </w:p>
          <w:p>
            <w:pPr>
              <w:spacing w:line="240" w:lineRule="auto"/>
              <w:rPr>
                <w:rFonts w:hint="eastAsia" w:eastAsia="宋体"/>
                <w:color w:val="auto"/>
                <w:sz w:val="24"/>
                <w:szCs w:val="24"/>
                <w:highlight w:val="none"/>
                <w:lang w:val="en-US" w:eastAsia="zh-CN"/>
              </w:rPr>
            </w:pPr>
            <w:r>
              <w:rPr>
                <w:rFonts w:hint="eastAsia" w:ascii="宋体" w:hAnsi="宋体" w:eastAsia="宋体" w:cs="宋体"/>
                <w:color w:val="auto"/>
                <w:sz w:val="24"/>
                <w:szCs w:val="24"/>
                <w:highlight w:val="none"/>
                <w:lang w:val="zh-CN"/>
              </w:rPr>
              <w:t>联系电话：</w:t>
            </w:r>
            <w:r>
              <w:rPr>
                <w:rFonts w:hint="eastAsia" w:ascii="宋体" w:hAnsi="宋体" w:cs="微软雅黑"/>
                <w:color w:val="auto"/>
                <w:sz w:val="24"/>
                <w:highlight w:val="none"/>
                <w:lang w:eastAsia="zh-CN"/>
              </w:rPr>
              <w:t>13558776674</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501" w:hRule="atLeast"/>
          <w:jc w:val="center"/>
        </w:trPr>
        <w:tc>
          <w:tcPr>
            <w:tcW w:w="856" w:type="dxa"/>
            <w:tcBorders>
              <w:tl2br w:val="nil"/>
              <w:tr2bl w:val="nil"/>
            </w:tcBorders>
            <w:vAlign w:val="center"/>
          </w:tcPr>
          <w:p>
            <w:pPr>
              <w:spacing w:line="240" w:lineRule="auto"/>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14</w:t>
            </w:r>
          </w:p>
        </w:tc>
        <w:tc>
          <w:tcPr>
            <w:tcW w:w="1750" w:type="dxa"/>
            <w:tcBorders>
              <w:tl2br w:val="nil"/>
              <w:tr2bl w:val="nil"/>
            </w:tcBorders>
            <w:vAlign w:val="center"/>
          </w:tcPr>
          <w:p>
            <w:pPr>
              <w:spacing w:line="240" w:lineRule="auto"/>
              <w:jc w:val="center"/>
              <w:rPr>
                <w:rFonts w:ascii="宋体" w:hAnsi="宋体" w:eastAsia="宋体" w:cs="宋体"/>
                <w:b/>
                <w:bCs/>
                <w:color w:val="auto"/>
                <w:sz w:val="24"/>
                <w:szCs w:val="24"/>
                <w:highlight w:val="none"/>
              </w:rPr>
            </w:pPr>
            <w:r>
              <w:rPr>
                <w:rFonts w:hint="eastAsia" w:ascii="宋体" w:hAnsi="宋体" w:eastAsia="宋体" w:cs="宋体"/>
                <w:color w:val="auto"/>
                <w:kern w:val="2"/>
                <w:sz w:val="24"/>
                <w:szCs w:val="24"/>
                <w:highlight w:val="none"/>
                <w:lang w:eastAsia="zh-CN"/>
              </w:rPr>
              <w:t>投标人</w:t>
            </w:r>
            <w:r>
              <w:rPr>
                <w:rFonts w:hint="eastAsia" w:ascii="宋体" w:hAnsi="宋体" w:eastAsia="宋体" w:cs="宋体"/>
                <w:color w:val="auto"/>
                <w:kern w:val="2"/>
                <w:sz w:val="24"/>
                <w:szCs w:val="24"/>
                <w:highlight w:val="none"/>
              </w:rPr>
              <w:t>质疑</w:t>
            </w:r>
          </w:p>
        </w:tc>
        <w:tc>
          <w:tcPr>
            <w:tcW w:w="6898" w:type="dxa"/>
            <w:tcBorders>
              <w:tl2br w:val="nil"/>
              <w:tr2bl w:val="nil"/>
            </w:tcBorders>
            <w:vAlign w:val="center"/>
          </w:tcPr>
          <w:p>
            <w:pPr>
              <w:spacing w:line="240" w:lineRule="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根据委托代理协议约定，对于招标文件的技术、商务部分的质疑由成都市技师学院负责解释，四川铭信工程招标咨询有限公司负责答复；对于文件其他部分及流程、招标结果由四川铭信工程招标咨询有限公司负责答复。投标人在法定质疑期内应一次性提出针对同一招标程序环节的质疑（针对同一招标程序环节一次以上的质疑不予受理）。</w:t>
            </w:r>
          </w:p>
          <w:p>
            <w:pPr>
              <w:spacing w:line="240" w:lineRule="auto"/>
              <w:rPr>
                <w:rFonts w:ascii="宋体" w:hAnsi="宋体" w:eastAsia="宋体" w:cs="宋体"/>
                <w:color w:val="auto"/>
                <w:sz w:val="24"/>
                <w:szCs w:val="24"/>
                <w:highlight w:val="none"/>
                <w:lang w:val="zh-CN"/>
              </w:rPr>
            </w:pPr>
            <w:r>
              <w:rPr>
                <w:rFonts w:hint="eastAsia" w:ascii="宋体"/>
                <w:color w:val="auto"/>
                <w:sz w:val="24"/>
                <w:szCs w:val="24"/>
                <w:highlight w:val="none"/>
                <w:lang w:val="zh-CN"/>
              </w:rPr>
              <w:t>接收方式：邮寄或现场递交，质疑函必须为书面形式并符合相关法律法规的要求。</w:t>
            </w:r>
          </w:p>
          <w:p>
            <w:pPr>
              <w:spacing w:line="240" w:lineRule="auto"/>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联系人：</w:t>
            </w:r>
            <w:r>
              <w:rPr>
                <w:rFonts w:hint="eastAsia" w:ascii="宋体" w:hAnsi="宋体" w:eastAsia="宋体" w:cs="宋体"/>
                <w:color w:val="auto"/>
                <w:sz w:val="24"/>
                <w:szCs w:val="24"/>
                <w:highlight w:val="none"/>
                <w:lang w:val="en-US" w:eastAsia="zh-CN"/>
              </w:rPr>
              <w:t>陈女士</w:t>
            </w:r>
            <w:r>
              <w:rPr>
                <w:rFonts w:hint="eastAsia" w:ascii="宋体" w:hAnsi="宋体" w:eastAsia="宋体" w:cs="宋体"/>
                <w:color w:val="auto"/>
                <w:sz w:val="24"/>
                <w:szCs w:val="24"/>
                <w:highlight w:val="none"/>
                <w:lang w:val="zh-CN"/>
              </w:rPr>
              <w:t xml:space="preserve"> </w:t>
            </w:r>
          </w:p>
          <w:p>
            <w:pPr>
              <w:spacing w:line="240" w:lineRule="auto"/>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联系电话：</w:t>
            </w:r>
            <w:r>
              <w:rPr>
                <w:rFonts w:hint="eastAsia" w:ascii="宋体" w:hAnsi="宋体" w:cs="微软雅黑"/>
                <w:color w:val="auto"/>
                <w:sz w:val="24"/>
                <w:highlight w:val="none"/>
                <w:lang w:eastAsia="zh-CN"/>
              </w:rPr>
              <w:t>13558776674</w:t>
            </w:r>
          </w:p>
          <w:p>
            <w:pPr>
              <w:spacing w:line="240" w:lineRule="auto"/>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注：</w:t>
            </w:r>
          </w:p>
          <w:p>
            <w:pPr>
              <w:spacing w:line="240" w:lineRule="auto"/>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1、对招标文件提出质疑时间：为购买招标文件之日起七个工作日内；</w:t>
            </w:r>
          </w:p>
          <w:p>
            <w:pPr>
              <w:spacing w:line="240" w:lineRule="auto"/>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2、对招标过程提出质疑时间：为各招标程序环节结束之日起七个工作日内；</w:t>
            </w:r>
          </w:p>
          <w:p>
            <w:pPr>
              <w:spacing w:line="240" w:lineRule="auto"/>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3、对招标结果提出质疑时间：为招标结果公告发布次日后七个工作日内；</w:t>
            </w:r>
          </w:p>
          <w:p>
            <w:pPr>
              <w:spacing w:line="240" w:lineRule="auto"/>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4、</w:t>
            </w:r>
            <w:r>
              <w:rPr>
                <w:rFonts w:hint="eastAsia" w:ascii="宋体" w:hAnsi="宋体" w:eastAsia="宋体" w:cs="宋体"/>
                <w:color w:val="auto"/>
                <w:sz w:val="24"/>
                <w:szCs w:val="24"/>
                <w:highlight w:val="none"/>
                <w:lang w:val="en-US" w:eastAsia="zh-CN"/>
              </w:rPr>
              <w:t>参照</w:t>
            </w:r>
            <w:r>
              <w:rPr>
                <w:rFonts w:hint="eastAsia" w:ascii="宋体" w:hAnsi="宋体" w:eastAsia="宋体" w:cs="宋体"/>
                <w:color w:val="auto"/>
                <w:sz w:val="24"/>
                <w:szCs w:val="24"/>
                <w:highlight w:val="none"/>
                <w:lang w:val="zh-CN"/>
              </w:rPr>
              <w:t>《政府采购质疑和投诉办法》的规定，投标人质疑不得超出招标文件、招标过程、招标结果的范围；</w:t>
            </w:r>
          </w:p>
          <w:p>
            <w:pPr>
              <w:spacing w:line="240" w:lineRule="auto"/>
              <w:rPr>
                <w:rFonts w:ascii="宋体" w:hAnsi="宋体" w:eastAsia="宋体" w:cs="宋体"/>
                <w:b/>
                <w:bCs/>
                <w:color w:val="auto"/>
                <w:sz w:val="24"/>
                <w:szCs w:val="24"/>
                <w:highlight w:val="none"/>
              </w:rPr>
            </w:pPr>
            <w:r>
              <w:rPr>
                <w:rFonts w:hint="eastAsia" w:ascii="宋体" w:hAnsi="宋体" w:eastAsia="宋体" w:cs="宋体"/>
                <w:color w:val="auto"/>
                <w:sz w:val="24"/>
                <w:szCs w:val="24"/>
                <w:highlight w:val="none"/>
                <w:lang w:val="zh-CN"/>
              </w:rPr>
              <w:t>5、1-4每个阶段的质疑应在一次质疑函中全部提出全有事项。</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501" w:hRule="atLeast"/>
          <w:jc w:val="center"/>
        </w:trPr>
        <w:tc>
          <w:tcPr>
            <w:tcW w:w="856" w:type="dxa"/>
            <w:tcBorders>
              <w:tl2br w:val="nil"/>
              <w:tr2bl w:val="nil"/>
            </w:tcBorders>
            <w:vAlign w:val="center"/>
          </w:tcPr>
          <w:p>
            <w:pPr>
              <w:spacing w:line="240" w:lineRule="auto"/>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15</w:t>
            </w:r>
          </w:p>
        </w:tc>
        <w:tc>
          <w:tcPr>
            <w:tcW w:w="1750" w:type="dxa"/>
            <w:tcBorders>
              <w:tl2br w:val="nil"/>
              <w:tr2bl w:val="nil"/>
            </w:tcBorders>
            <w:vAlign w:val="center"/>
          </w:tcPr>
          <w:p>
            <w:pPr>
              <w:spacing w:line="240" w:lineRule="auto"/>
              <w:jc w:val="center"/>
              <w:rPr>
                <w:rFonts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节能、环保及无线局域网产品政府采购政策</w:t>
            </w:r>
          </w:p>
        </w:tc>
        <w:tc>
          <w:tcPr>
            <w:tcW w:w="6898" w:type="dxa"/>
            <w:tcBorders>
              <w:tl2br w:val="nil"/>
              <w:tr2bl w:val="nil"/>
            </w:tcBorders>
            <w:vAlign w:val="center"/>
          </w:tcPr>
          <w:p>
            <w:pPr>
              <w:spacing w:line="240" w:lineRule="auto"/>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一</w:t>
            </w:r>
            <w:r>
              <w:rPr>
                <w:rFonts w:hint="eastAsia" w:ascii="宋体" w:hAnsi="宋体" w:eastAsia="宋体" w:cs="宋体"/>
                <w:color w:val="auto"/>
                <w:sz w:val="24"/>
                <w:szCs w:val="24"/>
                <w:highlight w:val="none"/>
                <w:lang w:val="zh-CN"/>
              </w:rPr>
              <w:t>、节能、环保产品政府采购政策：</w:t>
            </w:r>
          </w:p>
          <w:p>
            <w:pPr>
              <w:spacing w:line="240" w:lineRule="auto"/>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根据《财政部 发展改革委 生态环境部 市场监管总局关于调整优化节能产品、环境标志产品政府采购执行机制的通知》（财库〔2019〕9号）相关要求，依据品目清单和认证证书实施政府优先采购和强制采购。本项目采购的产品属于品目清单范围的，依据国家确定的认证机构出具的、处于有效期之内的节能产品、环境标志产品认证证书，对获得证书的产品实施政府优先采购或强制采购。</w:t>
            </w:r>
          </w:p>
          <w:p>
            <w:pPr>
              <w:spacing w:line="240" w:lineRule="auto"/>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本项目采购的产品属于品目清单强制采购范围的，供应商应按上述要求提供产品认证证书复印件并加盖供应商单位公章，否则投标无效。</w:t>
            </w:r>
          </w:p>
          <w:p>
            <w:pPr>
              <w:spacing w:line="240" w:lineRule="auto"/>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本项目采购的产品属于品目清单优先采购范围的，按照第</w:t>
            </w:r>
            <w:r>
              <w:rPr>
                <w:rFonts w:hint="eastAsia" w:ascii="宋体" w:hAnsi="宋体" w:eastAsia="宋体" w:cs="宋体"/>
                <w:color w:val="auto"/>
                <w:sz w:val="24"/>
                <w:szCs w:val="24"/>
                <w:highlight w:val="none"/>
                <w:lang w:val="en-US" w:eastAsia="zh-CN"/>
              </w:rPr>
              <w:t>七</w:t>
            </w:r>
            <w:r>
              <w:rPr>
                <w:rFonts w:hint="eastAsia" w:ascii="宋体" w:hAnsi="宋体" w:eastAsia="宋体" w:cs="宋体"/>
                <w:color w:val="auto"/>
                <w:sz w:val="24"/>
                <w:szCs w:val="24"/>
                <w:highlight w:val="none"/>
                <w:lang w:val="zh-CN"/>
              </w:rPr>
              <w:t>章《综合评分明细表》的规则进行加分。</w:t>
            </w:r>
          </w:p>
          <w:p>
            <w:pPr>
              <w:spacing w:line="240" w:lineRule="auto"/>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注：对政府采购节能产品、环境标志产品实施品目清单管理。财政部、发展改革委、生态环境部等部门确定实施政府优先采购和强制采购的产品类别，以品目清单的形式发布并适时调整。</w:t>
            </w:r>
          </w:p>
          <w:p>
            <w:pPr>
              <w:spacing w:line="240" w:lineRule="auto"/>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二、无线局域网产品政府采购政策：</w:t>
            </w:r>
          </w:p>
          <w:p>
            <w:pPr>
              <w:spacing w:line="240" w:lineRule="auto"/>
              <w:rPr>
                <w:rFonts w:ascii="宋体" w:hAnsi="宋体" w:eastAsia="宋体" w:cs="宋体"/>
                <w:b/>
                <w:bCs/>
                <w:color w:val="auto"/>
                <w:sz w:val="24"/>
                <w:szCs w:val="24"/>
                <w:highlight w:val="none"/>
              </w:rPr>
            </w:pPr>
            <w:r>
              <w:rPr>
                <w:rFonts w:hint="eastAsia" w:ascii="宋体" w:hAnsi="宋体" w:eastAsia="宋体" w:cs="宋体"/>
                <w:color w:val="auto"/>
                <w:sz w:val="24"/>
                <w:szCs w:val="24"/>
                <w:highlight w:val="none"/>
                <w:lang w:val="zh-CN"/>
              </w:rPr>
              <w:t>本项目采购的产品属于中国政府采购网公布的《无线局域网认证产品政府采购清单》的，按照第</w:t>
            </w:r>
            <w:r>
              <w:rPr>
                <w:rFonts w:hint="eastAsia" w:ascii="宋体" w:hAnsi="宋体" w:eastAsia="宋体" w:cs="宋体"/>
                <w:color w:val="auto"/>
                <w:sz w:val="24"/>
                <w:szCs w:val="24"/>
                <w:highlight w:val="none"/>
                <w:lang w:val="en-US" w:eastAsia="zh-CN"/>
              </w:rPr>
              <w:t>七</w:t>
            </w:r>
            <w:r>
              <w:rPr>
                <w:rFonts w:hint="eastAsia" w:ascii="宋体" w:hAnsi="宋体" w:eastAsia="宋体" w:cs="宋体"/>
                <w:color w:val="auto"/>
                <w:sz w:val="24"/>
                <w:szCs w:val="24"/>
                <w:highlight w:val="none"/>
                <w:lang w:val="zh-CN"/>
              </w:rPr>
              <w:t>章《综合评分明细表》的规则进行加分。</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4" w:hRule="atLeast"/>
          <w:jc w:val="center"/>
        </w:trPr>
        <w:tc>
          <w:tcPr>
            <w:tcW w:w="856" w:type="dxa"/>
            <w:tcBorders>
              <w:tl2br w:val="nil"/>
              <w:tr2bl w:val="nil"/>
            </w:tcBorders>
            <w:vAlign w:val="center"/>
          </w:tcPr>
          <w:p>
            <w:pPr>
              <w:spacing w:line="240" w:lineRule="auto"/>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6</w:t>
            </w:r>
          </w:p>
        </w:tc>
        <w:tc>
          <w:tcPr>
            <w:tcW w:w="1750" w:type="dxa"/>
            <w:tcBorders>
              <w:tl2br w:val="nil"/>
              <w:tr2bl w:val="nil"/>
            </w:tcBorders>
            <w:vAlign w:val="center"/>
          </w:tcPr>
          <w:p>
            <w:pPr>
              <w:spacing w:line="240" w:lineRule="auto"/>
              <w:jc w:val="center"/>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投标</w:t>
            </w:r>
            <w:r>
              <w:rPr>
                <w:rFonts w:hint="eastAsia" w:ascii="宋体" w:hAnsi="宋体" w:eastAsia="宋体" w:cs="宋体"/>
                <w:color w:val="auto"/>
                <w:sz w:val="24"/>
                <w:szCs w:val="24"/>
                <w:highlight w:val="none"/>
                <w:lang w:val="zh-CN"/>
              </w:rPr>
              <w:t>与</w:t>
            </w:r>
            <w:r>
              <w:rPr>
                <w:rFonts w:hint="eastAsia" w:ascii="宋体" w:hAnsi="宋体" w:eastAsia="宋体" w:cs="宋体"/>
                <w:color w:val="auto"/>
                <w:sz w:val="24"/>
                <w:szCs w:val="24"/>
                <w:highlight w:val="none"/>
              </w:rPr>
              <w:t>投标</w:t>
            </w:r>
            <w:r>
              <w:rPr>
                <w:rFonts w:hint="eastAsia" w:ascii="宋体" w:hAnsi="宋体" w:eastAsia="宋体" w:cs="宋体"/>
                <w:color w:val="auto"/>
                <w:sz w:val="24"/>
                <w:szCs w:val="24"/>
                <w:highlight w:val="none"/>
                <w:lang w:val="zh-CN"/>
              </w:rPr>
              <w:t>文件</w:t>
            </w:r>
          </w:p>
          <w:p>
            <w:pPr>
              <w:spacing w:line="240" w:lineRule="auto"/>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rPr>
              <w:t>制作</w:t>
            </w:r>
          </w:p>
        </w:tc>
        <w:tc>
          <w:tcPr>
            <w:tcW w:w="6898" w:type="dxa"/>
            <w:tcBorders>
              <w:tl2br w:val="nil"/>
              <w:tr2bl w:val="nil"/>
            </w:tcBorders>
            <w:vAlign w:val="center"/>
          </w:tcPr>
          <w:p>
            <w:pPr>
              <w:spacing w:line="240" w:lineRule="auto"/>
              <w:jc w:val="both"/>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本项目</w:t>
            </w:r>
            <w:r>
              <w:rPr>
                <w:rFonts w:hint="eastAsia" w:ascii="宋体" w:hAnsi="宋体" w:eastAsia="宋体" w:cs="宋体"/>
                <w:color w:val="auto"/>
                <w:sz w:val="24"/>
                <w:szCs w:val="24"/>
                <w:highlight w:val="none"/>
              </w:rPr>
              <w:t>投标</w:t>
            </w:r>
            <w:r>
              <w:rPr>
                <w:rFonts w:hint="eastAsia" w:ascii="宋体" w:hAnsi="宋体" w:eastAsia="宋体" w:cs="宋体"/>
                <w:color w:val="auto"/>
                <w:sz w:val="24"/>
                <w:szCs w:val="24"/>
                <w:highlight w:val="none"/>
                <w:lang w:val="zh-CN"/>
              </w:rPr>
              <w:t>和</w:t>
            </w:r>
            <w:r>
              <w:rPr>
                <w:rFonts w:hint="eastAsia" w:ascii="宋体" w:hAnsi="宋体" w:eastAsia="宋体" w:cs="宋体"/>
                <w:color w:val="auto"/>
                <w:sz w:val="24"/>
                <w:szCs w:val="24"/>
                <w:highlight w:val="none"/>
              </w:rPr>
              <w:t>投标</w:t>
            </w:r>
            <w:r>
              <w:rPr>
                <w:rFonts w:hint="eastAsia" w:ascii="宋体" w:hAnsi="宋体" w:eastAsia="宋体" w:cs="宋体"/>
                <w:color w:val="auto"/>
                <w:sz w:val="24"/>
                <w:szCs w:val="24"/>
                <w:highlight w:val="none"/>
                <w:lang w:val="zh-CN"/>
              </w:rPr>
              <w:t>文件制作均以“包”为单位。</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65" w:hRule="atLeast"/>
          <w:jc w:val="center"/>
        </w:trPr>
        <w:tc>
          <w:tcPr>
            <w:tcW w:w="856" w:type="dxa"/>
            <w:tcBorders>
              <w:tl2br w:val="nil"/>
              <w:tr2bl w:val="nil"/>
            </w:tcBorders>
            <w:vAlign w:val="center"/>
          </w:tcPr>
          <w:p>
            <w:pPr>
              <w:spacing w:line="240" w:lineRule="auto"/>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7</w:t>
            </w:r>
          </w:p>
        </w:tc>
        <w:tc>
          <w:tcPr>
            <w:tcW w:w="1750" w:type="dxa"/>
            <w:tcBorders>
              <w:tl2br w:val="nil"/>
              <w:tr2bl w:val="nil"/>
            </w:tcBorders>
            <w:vAlign w:val="center"/>
          </w:tcPr>
          <w:p>
            <w:pPr>
              <w:kinsoku/>
              <w:spacing w:line="240" w:lineRule="auto"/>
              <w:ind w:right="105" w:rightChars="50"/>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中标通知书领取</w:t>
            </w:r>
          </w:p>
        </w:tc>
        <w:tc>
          <w:tcPr>
            <w:tcW w:w="6898" w:type="dxa"/>
            <w:tcBorders>
              <w:tl2br w:val="nil"/>
              <w:tr2bl w:val="nil"/>
            </w:tcBorders>
            <w:vAlign w:val="center"/>
          </w:tcPr>
          <w:p>
            <w:pPr>
              <w:pStyle w:val="24"/>
              <w:spacing w:line="240" w:lineRule="auto"/>
              <w:jc w:val="both"/>
              <w:rPr>
                <w:rFonts w:hint="eastAsia" w:ascii="宋体" w:hAnsi="宋体" w:eastAsia="宋体" w:cs="宋体"/>
                <w:color w:val="auto"/>
                <w:highlight w:val="none"/>
                <w:lang w:val="zh-CN"/>
              </w:rPr>
            </w:pPr>
            <w:r>
              <w:rPr>
                <w:rFonts w:hint="eastAsia"/>
                <w:color w:val="auto"/>
                <w:highlight w:val="none"/>
                <w:lang w:eastAsia="zh-Hans"/>
              </w:rPr>
              <w:t>成交结果公告</w:t>
            </w:r>
            <w:r>
              <w:rPr>
                <w:rFonts w:hint="eastAsia"/>
                <w:color w:val="auto"/>
                <w:highlight w:val="none"/>
                <w:lang w:val="zh-CN"/>
              </w:rPr>
              <w:t>在</w:t>
            </w:r>
            <w:r>
              <w:rPr>
                <w:rFonts w:hint="eastAsia"/>
                <w:bCs/>
                <w:color w:val="auto"/>
                <w:highlight w:val="none"/>
                <w:lang w:eastAsia="zh-CN"/>
              </w:rPr>
              <w:t>中国招标投标公共服务平台（http://www.cebpubservice.com/）</w:t>
            </w:r>
            <w:r>
              <w:rPr>
                <w:rFonts w:hint="eastAsia"/>
                <w:color w:val="auto"/>
                <w:highlight w:val="none"/>
                <w:lang w:val="zh-CN"/>
              </w:rPr>
              <w:t>上发布</w:t>
            </w:r>
            <w:r>
              <w:rPr>
                <w:color w:val="auto"/>
                <w:highlight w:val="none"/>
              </w:rPr>
              <w:t>，</w:t>
            </w:r>
            <w:r>
              <w:rPr>
                <w:rFonts w:hint="eastAsia"/>
                <w:color w:val="auto"/>
                <w:highlight w:val="none"/>
                <w:lang w:eastAsia="zh-Hans"/>
              </w:rPr>
              <w:t>公告发布后</w:t>
            </w:r>
            <w:r>
              <w:rPr>
                <w:color w:val="auto"/>
                <w:highlight w:val="none"/>
                <w:lang w:eastAsia="zh-Hans"/>
              </w:rPr>
              <w:t>，</w:t>
            </w:r>
            <w:r>
              <w:rPr>
                <w:rFonts w:hint="eastAsia"/>
                <w:color w:val="auto"/>
                <w:highlight w:val="none"/>
                <w:lang w:val="zh-CN"/>
              </w:rPr>
              <w:t>请成交供应商</w:t>
            </w:r>
            <w:r>
              <w:rPr>
                <w:rFonts w:hint="eastAsia"/>
                <w:color w:val="auto"/>
                <w:highlight w:val="none"/>
              </w:rPr>
              <w:t>与代</w:t>
            </w:r>
            <w:r>
              <w:rPr>
                <w:rFonts w:hint="eastAsia" w:ascii="宋体" w:hAnsi="宋体" w:eastAsia="宋体" w:cs="宋体"/>
                <w:color w:val="auto"/>
                <w:highlight w:val="none"/>
              </w:rPr>
              <w:t>理机构联系，以邮寄方式</w:t>
            </w:r>
            <w:r>
              <w:rPr>
                <w:rFonts w:hint="eastAsia" w:ascii="宋体" w:hAnsi="宋体" w:eastAsia="宋体" w:cs="宋体"/>
                <w:color w:val="auto"/>
                <w:highlight w:val="none"/>
                <w:lang w:val="zh-CN"/>
              </w:rPr>
              <w:t>领取成交通知书。</w:t>
            </w:r>
          </w:p>
          <w:p>
            <w:pPr>
              <w:pStyle w:val="24"/>
              <w:spacing w:line="240" w:lineRule="auto"/>
              <w:jc w:val="both"/>
              <w:rPr>
                <w:rFonts w:ascii="宋体" w:hAnsi="宋体" w:eastAsia="宋体" w:cs="宋体"/>
                <w:color w:val="auto"/>
                <w:sz w:val="24"/>
                <w:szCs w:val="24"/>
                <w:highlight w:val="none"/>
              </w:rPr>
            </w:pPr>
            <w:r>
              <w:rPr>
                <w:rFonts w:hint="eastAsia" w:ascii="宋体" w:hAnsi="宋体" w:eastAsia="宋体" w:cs="宋体"/>
                <w:color w:val="auto"/>
                <w:highlight w:val="none"/>
                <w:lang w:val="zh-CN"/>
              </w:rPr>
              <w:t>联系电话：</w:t>
            </w:r>
            <w:r>
              <w:rPr>
                <w:rFonts w:hint="eastAsia" w:ascii="宋体" w:hAnsi="宋体" w:eastAsia="宋体" w:cs="宋体"/>
                <w:color w:val="auto"/>
                <w:highlight w:val="none"/>
                <w:lang w:val="en-US" w:eastAsia="zh-CN"/>
              </w:rPr>
              <w:t>18780128100</w:t>
            </w:r>
            <w:r>
              <w:rPr>
                <w:rFonts w:hint="eastAsia" w:ascii="宋体" w:hAnsi="宋体" w:eastAsia="宋体" w:cs="宋体"/>
                <w:color w:val="auto"/>
                <w:highlight w:val="none"/>
                <w:lang w:val="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501" w:hRule="atLeast"/>
          <w:jc w:val="center"/>
        </w:trPr>
        <w:tc>
          <w:tcPr>
            <w:tcW w:w="856" w:type="dxa"/>
            <w:tcBorders>
              <w:tl2br w:val="nil"/>
              <w:tr2bl w:val="nil"/>
            </w:tcBorders>
            <w:vAlign w:val="center"/>
          </w:tcPr>
          <w:p>
            <w:pPr>
              <w:spacing w:line="240" w:lineRule="auto"/>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18</w:t>
            </w:r>
          </w:p>
        </w:tc>
        <w:tc>
          <w:tcPr>
            <w:tcW w:w="1750" w:type="dxa"/>
            <w:tcBorders>
              <w:tl2br w:val="nil"/>
              <w:tr2bl w:val="nil"/>
            </w:tcBorders>
            <w:vAlign w:val="center"/>
          </w:tcPr>
          <w:p>
            <w:pPr>
              <w:kinsoku/>
              <w:spacing w:line="240" w:lineRule="auto"/>
              <w:ind w:right="105" w:rightChars="50"/>
              <w:jc w:val="center"/>
              <w:rPr>
                <w:rFonts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招标代理服务费</w:t>
            </w:r>
          </w:p>
        </w:tc>
        <w:tc>
          <w:tcPr>
            <w:tcW w:w="6898" w:type="dxa"/>
            <w:tcBorders>
              <w:tl2br w:val="nil"/>
              <w:tr2bl w:val="nil"/>
            </w:tcBorders>
            <w:vAlign w:val="center"/>
          </w:tcPr>
          <w:p>
            <w:pPr>
              <w:spacing w:line="240" w:lineRule="auto"/>
              <w:ind w:firstLine="240" w:firstLineChars="10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项目代理服务按照国家计委计价格[2002]1980号及发改办价格[2003]857号文规定的收费标准下浮25%收取，中标人在领取中标通知书前支付服务费给代理机构。</w:t>
            </w:r>
          </w:p>
          <w:p>
            <w:pPr>
              <w:spacing w:line="240" w:lineRule="auto"/>
              <w:ind w:firstLine="240" w:firstLineChars="10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账号名称：四川铭信工程招标咨询有限公司</w:t>
            </w:r>
          </w:p>
          <w:p>
            <w:pPr>
              <w:spacing w:line="240" w:lineRule="auto"/>
              <w:ind w:firstLine="240" w:firstLineChars="10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开户行：</w:t>
            </w:r>
            <w:r>
              <w:rPr>
                <w:rFonts w:hint="eastAsia" w:ascii="宋体" w:hAnsi="宋体" w:eastAsia="宋体" w:cs="宋体"/>
                <w:b w:val="0"/>
                <w:bCs w:val="0"/>
                <w:color w:val="auto"/>
                <w:sz w:val="24"/>
                <w:szCs w:val="24"/>
                <w:highlight w:val="none"/>
              </w:rPr>
              <w:t>四川银行股份有限公司成都天府广场支行</w:t>
            </w:r>
          </w:p>
          <w:p>
            <w:pPr>
              <w:spacing w:line="240" w:lineRule="auto"/>
              <w:ind w:firstLine="240" w:firstLineChars="100"/>
              <w:rPr>
                <w:rFonts w:ascii="宋体" w:hAnsi="宋体" w:eastAsia="宋体" w:cs="宋体"/>
                <w:b/>
                <w:bCs/>
                <w:color w:val="auto"/>
                <w:sz w:val="24"/>
                <w:szCs w:val="24"/>
                <w:highlight w:val="none"/>
              </w:rPr>
            </w:pPr>
            <w:r>
              <w:rPr>
                <w:rFonts w:hint="eastAsia" w:ascii="宋体" w:hAnsi="宋体" w:eastAsia="宋体" w:cs="宋体"/>
                <w:color w:val="auto"/>
                <w:sz w:val="24"/>
                <w:szCs w:val="24"/>
                <w:highlight w:val="none"/>
                <w:lang w:val="zh-CN"/>
              </w:rPr>
              <w:t>银行账号：</w:t>
            </w:r>
            <w:r>
              <w:rPr>
                <w:rFonts w:hint="eastAsia" w:ascii="宋体" w:hAnsi="宋体" w:eastAsia="宋体" w:cs="宋体"/>
                <w:b w:val="0"/>
                <w:bCs w:val="0"/>
                <w:color w:val="auto"/>
                <w:sz w:val="24"/>
                <w:szCs w:val="24"/>
                <w:highlight w:val="none"/>
              </w:rPr>
              <w:t>78220100072502592</w:t>
            </w:r>
          </w:p>
        </w:tc>
      </w:tr>
    </w:tbl>
    <w:p>
      <w:pPr>
        <w:spacing w:line="240" w:lineRule="auto"/>
        <w:ind w:firstLine="622" w:firstLineChars="200"/>
        <w:jc w:val="center"/>
        <w:rPr>
          <w:rFonts w:ascii="宋体" w:hAnsi="宋体" w:eastAsia="宋体" w:cs="宋体"/>
          <w:b/>
          <w:bCs/>
          <w:color w:val="auto"/>
          <w:sz w:val="31"/>
          <w:szCs w:val="31"/>
          <w:highlight w:val="none"/>
        </w:rPr>
      </w:pPr>
      <w:bookmarkStart w:id="12" w:name="_Toc31339"/>
    </w:p>
    <w:p>
      <w:pPr>
        <w:spacing w:line="240" w:lineRule="auto"/>
        <w:ind w:firstLine="622" w:firstLineChars="200"/>
        <w:jc w:val="center"/>
        <w:outlineLvl w:val="1"/>
        <w:rPr>
          <w:rFonts w:ascii="宋体" w:hAnsi="宋体" w:eastAsia="宋体" w:cs="宋体"/>
          <w:b/>
          <w:bCs/>
          <w:color w:val="auto"/>
          <w:sz w:val="31"/>
          <w:szCs w:val="31"/>
          <w:highlight w:val="none"/>
        </w:rPr>
      </w:pPr>
      <w:bookmarkStart w:id="13" w:name="_Toc12017"/>
      <w:r>
        <w:rPr>
          <w:rFonts w:hint="eastAsia" w:ascii="宋体" w:hAnsi="宋体" w:eastAsia="宋体" w:cs="宋体"/>
          <w:b/>
          <w:bCs/>
          <w:color w:val="auto"/>
          <w:sz w:val="31"/>
          <w:szCs w:val="31"/>
          <w:highlight w:val="none"/>
        </w:rPr>
        <w:t>二 、 总  则</w:t>
      </w:r>
      <w:bookmarkEnd w:id="12"/>
      <w:bookmarkEnd w:id="13"/>
    </w:p>
    <w:p>
      <w:pPr>
        <w:spacing w:line="240" w:lineRule="auto"/>
        <w:outlineLvl w:val="9"/>
        <w:rPr>
          <w:rFonts w:ascii="宋体" w:hAnsi="宋体" w:eastAsia="宋体" w:cs="宋体"/>
          <w:b/>
          <w:bCs/>
          <w:color w:val="auto"/>
          <w:sz w:val="24"/>
          <w:szCs w:val="24"/>
          <w:highlight w:val="none"/>
        </w:rPr>
      </w:pPr>
      <w:bookmarkStart w:id="14" w:name="_Toc18679"/>
      <w:bookmarkStart w:id="15" w:name="_Toc27740"/>
      <w:r>
        <w:rPr>
          <w:rFonts w:hint="eastAsia" w:ascii="宋体" w:hAnsi="宋体" w:eastAsia="宋体" w:cs="宋体"/>
          <w:b/>
          <w:bCs/>
          <w:color w:val="auto"/>
          <w:sz w:val="24"/>
          <w:szCs w:val="24"/>
          <w:highlight w:val="none"/>
        </w:rPr>
        <w:t>1.适用范围</w:t>
      </w:r>
      <w:bookmarkEnd w:id="14"/>
      <w:bookmarkEnd w:id="15"/>
    </w:p>
    <w:p>
      <w:pPr>
        <w:spacing w:line="240" w:lineRule="auto"/>
        <w:ind w:firstLine="240" w:firstLineChars="100"/>
        <w:rPr>
          <w:rFonts w:ascii="宋体" w:hAnsi="宋体" w:eastAsia="宋体" w:cs="宋体"/>
          <w:color w:val="auto"/>
          <w:sz w:val="24"/>
          <w:szCs w:val="24"/>
          <w:highlight w:val="none"/>
        </w:rPr>
      </w:pPr>
      <w:r>
        <w:rPr>
          <w:rFonts w:ascii="宋体" w:hAnsi="宋体" w:eastAsia="宋体" w:cs="宋体"/>
          <w:color w:val="auto"/>
          <w:sz w:val="24"/>
          <w:szCs w:val="24"/>
          <w:highlight w:val="none"/>
        </w:rPr>
        <w:t>1.1 本招标文件仅适用于本次招标采购项目。</w:t>
      </w:r>
    </w:p>
    <w:p>
      <w:pPr>
        <w:spacing w:line="240" w:lineRule="auto"/>
        <w:ind w:firstLine="240" w:firstLineChars="100"/>
        <w:rPr>
          <w:rFonts w:ascii="宋体" w:hAnsi="宋体" w:eastAsia="宋体" w:cs="宋体"/>
          <w:color w:val="auto"/>
          <w:sz w:val="24"/>
          <w:szCs w:val="24"/>
          <w:highlight w:val="none"/>
        </w:rPr>
      </w:pPr>
      <w:r>
        <w:rPr>
          <w:rFonts w:ascii="宋体" w:hAnsi="宋体" w:eastAsia="宋体" w:cs="宋体"/>
          <w:color w:val="auto"/>
          <w:sz w:val="24"/>
          <w:szCs w:val="24"/>
          <w:highlight w:val="none"/>
        </w:rPr>
        <w:t>1.2 本招标文件的解释权归</w:t>
      </w:r>
      <w:r>
        <w:rPr>
          <w:rFonts w:hint="eastAsia" w:ascii="宋体" w:hAnsi="宋体" w:eastAsia="宋体" w:cs="宋体"/>
          <w:color w:val="auto"/>
          <w:sz w:val="24"/>
          <w:szCs w:val="24"/>
          <w:highlight w:val="none"/>
        </w:rPr>
        <w:t>招标人</w:t>
      </w:r>
      <w:r>
        <w:rPr>
          <w:rFonts w:ascii="宋体" w:hAnsi="宋体" w:eastAsia="宋体" w:cs="宋体"/>
          <w:color w:val="auto"/>
          <w:sz w:val="24"/>
          <w:szCs w:val="24"/>
          <w:highlight w:val="none"/>
        </w:rPr>
        <w:t>和</w:t>
      </w:r>
      <w:r>
        <w:rPr>
          <w:rFonts w:hint="eastAsia" w:ascii="宋体" w:hAnsi="宋体" w:eastAsia="宋体" w:cs="宋体"/>
          <w:color w:val="auto"/>
          <w:sz w:val="24"/>
          <w:szCs w:val="24"/>
          <w:highlight w:val="none"/>
        </w:rPr>
        <w:t>招标代理机构</w:t>
      </w:r>
      <w:r>
        <w:rPr>
          <w:rFonts w:ascii="宋体" w:hAnsi="宋体" w:eastAsia="宋体" w:cs="宋体"/>
          <w:color w:val="auto"/>
          <w:sz w:val="24"/>
          <w:szCs w:val="24"/>
          <w:highlight w:val="none"/>
        </w:rPr>
        <w:t>所有。</w:t>
      </w:r>
    </w:p>
    <w:p>
      <w:pPr>
        <w:spacing w:line="240" w:lineRule="auto"/>
        <w:outlineLvl w:val="9"/>
        <w:rPr>
          <w:rFonts w:ascii="宋体" w:hAnsi="宋体" w:eastAsia="宋体" w:cs="宋体"/>
          <w:b/>
          <w:bCs/>
          <w:color w:val="auto"/>
          <w:sz w:val="24"/>
          <w:szCs w:val="24"/>
          <w:highlight w:val="none"/>
        </w:rPr>
      </w:pPr>
      <w:bookmarkStart w:id="16" w:name="_Toc28213"/>
      <w:bookmarkStart w:id="17" w:name="_Toc22141"/>
      <w:r>
        <w:rPr>
          <w:rFonts w:hint="eastAsia" w:ascii="宋体" w:hAnsi="宋体" w:eastAsia="宋体" w:cs="宋体"/>
          <w:b/>
          <w:bCs/>
          <w:color w:val="auto"/>
          <w:sz w:val="24"/>
          <w:szCs w:val="24"/>
          <w:highlight w:val="none"/>
        </w:rPr>
        <w:t>2.有关定义</w:t>
      </w:r>
      <w:bookmarkEnd w:id="16"/>
      <w:bookmarkEnd w:id="17"/>
    </w:p>
    <w:p>
      <w:pPr>
        <w:spacing w:line="240" w:lineRule="auto"/>
        <w:ind w:firstLine="240" w:firstLineChars="100"/>
        <w:rPr>
          <w:rFonts w:ascii="宋体" w:hAnsi="宋体" w:eastAsia="宋体" w:cs="宋体"/>
          <w:color w:val="auto"/>
          <w:sz w:val="24"/>
          <w:szCs w:val="24"/>
          <w:highlight w:val="none"/>
        </w:rPr>
      </w:pPr>
      <w:r>
        <w:rPr>
          <w:rFonts w:ascii="宋体" w:hAnsi="宋体" w:eastAsia="宋体" w:cs="宋体"/>
          <w:color w:val="auto"/>
          <w:sz w:val="24"/>
          <w:szCs w:val="24"/>
          <w:highlight w:val="none"/>
        </w:rPr>
        <w:t>2.1 “</w:t>
      </w:r>
      <w:r>
        <w:rPr>
          <w:rFonts w:hint="eastAsia" w:ascii="宋体" w:hAnsi="宋体" w:eastAsia="宋体" w:cs="宋体"/>
          <w:color w:val="auto"/>
          <w:sz w:val="24"/>
          <w:szCs w:val="24"/>
          <w:highlight w:val="none"/>
        </w:rPr>
        <w:t>招标人</w:t>
      </w:r>
      <w:r>
        <w:rPr>
          <w:rFonts w:ascii="宋体" w:hAnsi="宋体" w:eastAsia="宋体" w:cs="宋体"/>
          <w:color w:val="auto"/>
          <w:sz w:val="24"/>
          <w:szCs w:val="24"/>
          <w:highlight w:val="none"/>
        </w:rPr>
        <w:t>”系指依法进行采购的国家机关、事业单位、团体组织。本次招标的</w:t>
      </w:r>
      <w:r>
        <w:rPr>
          <w:rFonts w:hint="eastAsia" w:ascii="宋体" w:hAnsi="宋体" w:eastAsia="宋体" w:cs="宋体"/>
          <w:color w:val="auto"/>
          <w:sz w:val="24"/>
          <w:szCs w:val="24"/>
          <w:highlight w:val="none"/>
        </w:rPr>
        <w:t>招标人</w:t>
      </w:r>
      <w:r>
        <w:rPr>
          <w:rFonts w:ascii="宋体" w:hAnsi="宋体" w:eastAsia="宋体" w:cs="宋体"/>
          <w:color w:val="auto"/>
          <w:sz w:val="24"/>
          <w:szCs w:val="24"/>
          <w:highlight w:val="none"/>
        </w:rPr>
        <w:t>是</w:t>
      </w:r>
      <w:r>
        <w:rPr>
          <w:rFonts w:hint="eastAsia" w:ascii="宋体" w:hAnsi="宋体" w:eastAsia="宋体" w:cs="宋体"/>
          <w:b/>
          <w:bCs/>
          <w:color w:val="auto"/>
          <w:sz w:val="24"/>
          <w:szCs w:val="24"/>
          <w:highlight w:val="none"/>
          <w:u w:val="single"/>
          <w:lang w:eastAsia="zh-CN"/>
        </w:rPr>
        <w:t>成都市技师学院</w:t>
      </w:r>
      <w:r>
        <w:rPr>
          <w:rFonts w:hint="eastAsia" w:ascii="宋体" w:hAnsi="宋体" w:eastAsia="宋体" w:cs="宋体"/>
          <w:b/>
          <w:bCs/>
          <w:color w:val="auto"/>
          <w:sz w:val="24"/>
          <w:szCs w:val="24"/>
          <w:highlight w:val="none"/>
          <w:u w:val="single"/>
        </w:rPr>
        <w:t xml:space="preserve"> </w:t>
      </w:r>
      <w:r>
        <w:rPr>
          <w:rFonts w:ascii="宋体" w:hAnsi="宋体" w:eastAsia="宋体" w:cs="宋体"/>
          <w:color w:val="auto"/>
          <w:sz w:val="24"/>
          <w:szCs w:val="24"/>
          <w:highlight w:val="none"/>
        </w:rPr>
        <w:t>。</w:t>
      </w:r>
    </w:p>
    <w:p>
      <w:pPr>
        <w:spacing w:line="240" w:lineRule="auto"/>
        <w:ind w:firstLine="240" w:firstLineChars="100"/>
        <w:rPr>
          <w:rFonts w:ascii="宋体" w:hAnsi="宋体" w:eastAsia="宋体" w:cs="宋体"/>
          <w:color w:val="auto"/>
          <w:sz w:val="24"/>
          <w:szCs w:val="24"/>
          <w:highlight w:val="none"/>
        </w:rPr>
      </w:pPr>
      <w:r>
        <w:rPr>
          <w:rFonts w:ascii="宋体" w:hAnsi="宋体" w:eastAsia="宋体" w:cs="宋体"/>
          <w:color w:val="auto"/>
          <w:sz w:val="24"/>
          <w:szCs w:val="24"/>
          <w:highlight w:val="none"/>
        </w:rPr>
        <w:t>2.2 “</w:t>
      </w:r>
      <w:r>
        <w:rPr>
          <w:rFonts w:hint="eastAsia" w:ascii="宋体" w:hAnsi="宋体" w:eastAsia="宋体" w:cs="宋体"/>
          <w:color w:val="auto"/>
          <w:sz w:val="24"/>
          <w:szCs w:val="24"/>
          <w:highlight w:val="none"/>
        </w:rPr>
        <w:t>招标代理机构</w:t>
      </w:r>
      <w:r>
        <w:rPr>
          <w:rFonts w:ascii="宋体" w:hAnsi="宋体" w:eastAsia="宋体" w:cs="宋体"/>
          <w:color w:val="auto"/>
          <w:sz w:val="24"/>
          <w:szCs w:val="24"/>
          <w:highlight w:val="none"/>
        </w:rPr>
        <w:t>”系指根据</w:t>
      </w:r>
      <w:r>
        <w:rPr>
          <w:rFonts w:hint="eastAsia" w:ascii="宋体" w:hAnsi="宋体" w:eastAsia="宋体" w:cs="宋体"/>
          <w:color w:val="auto"/>
          <w:sz w:val="24"/>
          <w:szCs w:val="24"/>
          <w:highlight w:val="none"/>
        </w:rPr>
        <w:t>招标人</w:t>
      </w:r>
      <w:r>
        <w:rPr>
          <w:rFonts w:ascii="宋体" w:hAnsi="宋体" w:eastAsia="宋体" w:cs="宋体"/>
          <w:color w:val="auto"/>
          <w:sz w:val="24"/>
          <w:szCs w:val="24"/>
          <w:highlight w:val="none"/>
        </w:rPr>
        <w:t>的委托依法办理招标事宜的采购机构。本次招标的</w:t>
      </w:r>
      <w:r>
        <w:rPr>
          <w:rFonts w:hint="eastAsia" w:ascii="宋体" w:hAnsi="宋体" w:eastAsia="宋体" w:cs="宋体"/>
          <w:color w:val="auto"/>
          <w:sz w:val="24"/>
          <w:szCs w:val="24"/>
          <w:highlight w:val="none"/>
        </w:rPr>
        <w:t>招标代理机构</w:t>
      </w:r>
      <w:r>
        <w:rPr>
          <w:rFonts w:ascii="宋体" w:hAnsi="宋体" w:eastAsia="宋体" w:cs="宋体"/>
          <w:color w:val="auto"/>
          <w:sz w:val="24"/>
          <w:szCs w:val="24"/>
          <w:highlight w:val="none"/>
        </w:rPr>
        <w:t>是</w:t>
      </w:r>
      <w:r>
        <w:rPr>
          <w:rFonts w:hint="eastAsia" w:ascii="宋体" w:hAnsi="宋体" w:eastAsia="宋体" w:cs="宋体"/>
          <w:b/>
          <w:bCs/>
          <w:color w:val="auto"/>
          <w:sz w:val="24"/>
          <w:szCs w:val="24"/>
          <w:highlight w:val="none"/>
          <w:u w:val="single"/>
          <w:lang w:eastAsia="zh-CN"/>
        </w:rPr>
        <w:t>四川铭信工程招标咨询有限公司</w:t>
      </w:r>
      <w:r>
        <w:rPr>
          <w:rFonts w:ascii="宋体" w:hAnsi="宋体" w:eastAsia="宋体" w:cs="宋体"/>
          <w:color w:val="auto"/>
          <w:sz w:val="24"/>
          <w:szCs w:val="24"/>
          <w:highlight w:val="none"/>
        </w:rPr>
        <w:t>。</w:t>
      </w:r>
    </w:p>
    <w:p>
      <w:pPr>
        <w:spacing w:line="240" w:lineRule="auto"/>
        <w:ind w:firstLine="240" w:firstLineChars="100"/>
        <w:rPr>
          <w:rFonts w:ascii="宋体" w:hAnsi="宋体" w:eastAsia="宋体" w:cs="宋体"/>
          <w:color w:val="auto"/>
          <w:sz w:val="24"/>
          <w:szCs w:val="24"/>
          <w:highlight w:val="none"/>
        </w:rPr>
      </w:pPr>
      <w:r>
        <w:rPr>
          <w:rFonts w:ascii="宋体" w:hAnsi="宋体" w:eastAsia="宋体" w:cs="宋体"/>
          <w:color w:val="auto"/>
          <w:sz w:val="24"/>
          <w:szCs w:val="24"/>
          <w:highlight w:val="none"/>
        </w:rPr>
        <w:t>2.3 “招标采购单位”系指“</w:t>
      </w:r>
      <w:r>
        <w:rPr>
          <w:rFonts w:hint="eastAsia" w:ascii="宋体" w:hAnsi="宋体" w:eastAsia="宋体" w:cs="宋体"/>
          <w:color w:val="auto"/>
          <w:sz w:val="24"/>
          <w:szCs w:val="24"/>
          <w:highlight w:val="none"/>
        </w:rPr>
        <w:t>招标人</w:t>
      </w:r>
      <w:r>
        <w:rPr>
          <w:rFonts w:ascii="宋体" w:hAnsi="宋体" w:eastAsia="宋体" w:cs="宋体"/>
          <w:color w:val="auto"/>
          <w:sz w:val="24"/>
          <w:szCs w:val="24"/>
          <w:highlight w:val="none"/>
        </w:rPr>
        <w:t>”和“</w:t>
      </w:r>
      <w:r>
        <w:rPr>
          <w:rFonts w:hint="eastAsia" w:ascii="宋体" w:hAnsi="宋体" w:eastAsia="宋体" w:cs="宋体"/>
          <w:color w:val="auto"/>
          <w:sz w:val="24"/>
          <w:szCs w:val="24"/>
          <w:highlight w:val="none"/>
        </w:rPr>
        <w:t>招标代理机构</w:t>
      </w:r>
      <w:r>
        <w:rPr>
          <w:rFonts w:ascii="宋体" w:hAnsi="宋体" w:eastAsia="宋体" w:cs="宋体"/>
          <w:color w:val="auto"/>
          <w:sz w:val="24"/>
          <w:szCs w:val="24"/>
          <w:highlight w:val="none"/>
        </w:rPr>
        <w:t>”的统称。</w:t>
      </w:r>
    </w:p>
    <w:p>
      <w:pPr>
        <w:spacing w:line="240" w:lineRule="auto"/>
        <w:ind w:firstLine="240" w:firstLineChars="100"/>
        <w:rPr>
          <w:rFonts w:ascii="宋体" w:hAnsi="宋体" w:eastAsia="宋体" w:cs="宋体"/>
          <w:color w:val="auto"/>
          <w:sz w:val="24"/>
          <w:szCs w:val="24"/>
          <w:highlight w:val="none"/>
        </w:rPr>
      </w:pPr>
      <w:r>
        <w:rPr>
          <w:rFonts w:ascii="宋体" w:hAnsi="宋体" w:eastAsia="宋体" w:cs="宋体"/>
          <w:color w:val="auto"/>
          <w:sz w:val="24"/>
          <w:szCs w:val="24"/>
          <w:highlight w:val="none"/>
        </w:rPr>
        <w:t>2.4 “投标人”系指购买了招标文件拟参加投标和向</w:t>
      </w:r>
      <w:r>
        <w:rPr>
          <w:rFonts w:hint="eastAsia" w:ascii="宋体" w:hAnsi="宋体" w:eastAsia="宋体" w:cs="宋体"/>
          <w:color w:val="auto"/>
          <w:sz w:val="24"/>
          <w:szCs w:val="24"/>
          <w:highlight w:val="none"/>
        </w:rPr>
        <w:t>招标人</w:t>
      </w:r>
      <w:r>
        <w:rPr>
          <w:rFonts w:ascii="宋体" w:hAnsi="宋体" w:eastAsia="宋体" w:cs="宋体"/>
          <w:color w:val="auto"/>
          <w:sz w:val="24"/>
          <w:szCs w:val="24"/>
          <w:highlight w:val="none"/>
        </w:rPr>
        <w:t>提供货物及相应服务的供应商，同时本文件中因政策法规等原因出现描述不一致的“投标人”与“供应商”均属同一含义。</w:t>
      </w:r>
    </w:p>
    <w:p>
      <w:pPr>
        <w:spacing w:line="240" w:lineRule="auto"/>
        <w:outlineLvl w:val="9"/>
        <w:rPr>
          <w:rFonts w:ascii="宋体" w:hAnsi="宋体" w:eastAsia="宋体" w:cs="宋体"/>
          <w:b/>
          <w:bCs/>
          <w:color w:val="auto"/>
          <w:sz w:val="24"/>
          <w:szCs w:val="24"/>
          <w:highlight w:val="none"/>
        </w:rPr>
      </w:pPr>
      <w:bookmarkStart w:id="18" w:name="_Toc6383"/>
      <w:bookmarkStart w:id="19" w:name="_Toc16540"/>
      <w:r>
        <w:rPr>
          <w:rFonts w:hint="eastAsia" w:ascii="宋体" w:hAnsi="宋体" w:eastAsia="宋体" w:cs="宋体"/>
          <w:b/>
          <w:bCs/>
          <w:color w:val="auto"/>
          <w:sz w:val="24"/>
          <w:szCs w:val="24"/>
          <w:highlight w:val="none"/>
        </w:rPr>
        <w:t>3.合格的投标人 (实质性要求)</w:t>
      </w:r>
      <w:bookmarkEnd w:id="18"/>
      <w:bookmarkEnd w:id="19"/>
    </w:p>
    <w:p>
      <w:pPr>
        <w:spacing w:line="240" w:lineRule="auto"/>
        <w:ind w:firstLine="240" w:firstLineChars="100"/>
        <w:rPr>
          <w:rFonts w:ascii="宋体" w:hAnsi="宋体" w:eastAsia="宋体" w:cs="宋体"/>
          <w:color w:val="auto"/>
          <w:sz w:val="24"/>
          <w:szCs w:val="24"/>
          <w:highlight w:val="none"/>
        </w:rPr>
      </w:pPr>
      <w:r>
        <w:rPr>
          <w:rFonts w:ascii="宋体" w:hAnsi="宋体" w:eastAsia="宋体" w:cs="宋体"/>
          <w:color w:val="auto"/>
          <w:sz w:val="24"/>
          <w:szCs w:val="24"/>
          <w:highlight w:val="none"/>
        </w:rPr>
        <w:t>合格的投标人应具备以下条件：</w:t>
      </w:r>
    </w:p>
    <w:p>
      <w:pPr>
        <w:spacing w:line="240" w:lineRule="auto"/>
        <w:ind w:firstLine="240" w:firstLineChars="100"/>
        <w:rPr>
          <w:rFonts w:ascii="宋体" w:hAnsi="宋体" w:eastAsia="宋体" w:cs="宋体"/>
          <w:color w:val="auto"/>
          <w:sz w:val="24"/>
          <w:szCs w:val="24"/>
          <w:highlight w:val="none"/>
        </w:rPr>
      </w:pPr>
      <w:r>
        <w:rPr>
          <w:rFonts w:ascii="宋体" w:hAnsi="宋体" w:eastAsia="宋体" w:cs="宋体"/>
          <w:color w:val="auto"/>
          <w:sz w:val="24"/>
          <w:szCs w:val="24"/>
          <w:highlight w:val="none"/>
        </w:rPr>
        <w:t>3.1 本招标文件规定的供应商资格条件；</w:t>
      </w:r>
    </w:p>
    <w:p>
      <w:pPr>
        <w:spacing w:line="240" w:lineRule="auto"/>
        <w:ind w:firstLine="240" w:firstLineChars="100"/>
        <w:rPr>
          <w:rFonts w:ascii="宋体" w:hAnsi="宋体" w:eastAsia="宋体" w:cs="宋体"/>
          <w:color w:val="auto"/>
          <w:sz w:val="24"/>
          <w:szCs w:val="24"/>
          <w:highlight w:val="none"/>
        </w:rPr>
      </w:pPr>
      <w:r>
        <w:rPr>
          <w:rFonts w:ascii="宋体" w:hAnsi="宋体" w:eastAsia="宋体" w:cs="宋体"/>
          <w:color w:val="auto"/>
          <w:sz w:val="24"/>
          <w:szCs w:val="24"/>
          <w:highlight w:val="none"/>
        </w:rPr>
        <w:t>3.2 遵守国家有关的法律、法规、规章和其他政策制度；</w:t>
      </w:r>
    </w:p>
    <w:p>
      <w:pPr>
        <w:spacing w:line="240" w:lineRule="auto"/>
        <w:ind w:firstLine="240" w:firstLineChars="100"/>
        <w:rPr>
          <w:rFonts w:ascii="宋体" w:hAnsi="宋体" w:eastAsia="宋体" w:cs="宋体"/>
          <w:color w:val="auto"/>
          <w:sz w:val="24"/>
          <w:szCs w:val="24"/>
          <w:highlight w:val="none"/>
        </w:rPr>
      </w:pPr>
      <w:r>
        <w:rPr>
          <w:rFonts w:ascii="宋体" w:hAnsi="宋体" w:eastAsia="宋体" w:cs="宋体"/>
          <w:color w:val="auto"/>
          <w:sz w:val="24"/>
          <w:szCs w:val="24"/>
          <w:highlight w:val="none"/>
        </w:rPr>
        <w:t xml:space="preserve">3.3 </w:t>
      </w:r>
      <w:r>
        <w:rPr>
          <w:rFonts w:hint="eastAsia" w:ascii="宋体" w:hAnsi="宋体" w:eastAsia="宋体" w:cs="宋体"/>
          <w:color w:val="auto"/>
          <w:sz w:val="24"/>
          <w:szCs w:val="24"/>
          <w:highlight w:val="none"/>
        </w:rPr>
        <w:t>不属于禁止参加本项目采购活动的供应商；</w:t>
      </w:r>
    </w:p>
    <w:p>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3.4 按规定获取了招标文件</w:t>
      </w:r>
      <w:r>
        <w:rPr>
          <w:rFonts w:ascii="宋体" w:hAnsi="宋体" w:eastAsia="宋体" w:cs="宋体"/>
          <w:color w:val="auto"/>
          <w:sz w:val="24"/>
          <w:szCs w:val="24"/>
          <w:highlight w:val="none"/>
        </w:rPr>
        <w:t>。</w:t>
      </w:r>
    </w:p>
    <w:p>
      <w:pPr>
        <w:spacing w:line="240" w:lineRule="auto"/>
        <w:outlineLvl w:val="9"/>
        <w:rPr>
          <w:rFonts w:ascii="宋体" w:hAnsi="宋体" w:eastAsia="宋体" w:cs="宋体"/>
          <w:b/>
          <w:bCs/>
          <w:color w:val="auto"/>
          <w:sz w:val="24"/>
          <w:szCs w:val="24"/>
          <w:highlight w:val="none"/>
        </w:rPr>
      </w:pPr>
      <w:bookmarkStart w:id="20" w:name="_Toc30882"/>
      <w:bookmarkStart w:id="21" w:name="_Toc3991"/>
      <w:r>
        <w:rPr>
          <w:rFonts w:hint="eastAsia" w:ascii="宋体" w:hAnsi="宋体" w:eastAsia="宋体" w:cs="宋体"/>
          <w:b/>
          <w:bCs/>
          <w:color w:val="auto"/>
          <w:sz w:val="24"/>
          <w:szCs w:val="24"/>
          <w:highlight w:val="none"/>
        </w:rPr>
        <w:t>4.投标费用 (实质性要求)</w:t>
      </w:r>
      <w:bookmarkEnd w:id="20"/>
      <w:bookmarkEnd w:id="21"/>
    </w:p>
    <w:p>
      <w:pPr>
        <w:spacing w:line="240" w:lineRule="auto"/>
        <w:ind w:firstLine="240" w:firstLineChars="100"/>
        <w:rPr>
          <w:rFonts w:ascii="宋体" w:hAnsi="宋体" w:eastAsia="宋体" w:cs="宋体"/>
          <w:color w:val="auto"/>
          <w:sz w:val="24"/>
          <w:szCs w:val="24"/>
          <w:highlight w:val="none"/>
        </w:rPr>
      </w:pPr>
      <w:r>
        <w:rPr>
          <w:rFonts w:ascii="宋体" w:hAnsi="宋体" w:eastAsia="宋体" w:cs="宋体"/>
          <w:color w:val="auto"/>
          <w:sz w:val="24"/>
          <w:szCs w:val="24"/>
          <w:highlight w:val="none"/>
        </w:rPr>
        <w:t>投标人参加投标的有关费用由投标人自行承担。</w:t>
      </w:r>
    </w:p>
    <w:p>
      <w:pPr>
        <w:spacing w:line="240" w:lineRule="auto"/>
        <w:outlineLvl w:val="9"/>
        <w:rPr>
          <w:rFonts w:ascii="宋体" w:hAnsi="宋体" w:eastAsia="宋体" w:cs="宋体"/>
          <w:b/>
          <w:bCs/>
          <w:color w:val="auto"/>
          <w:sz w:val="24"/>
          <w:szCs w:val="24"/>
          <w:highlight w:val="none"/>
        </w:rPr>
      </w:pPr>
      <w:bookmarkStart w:id="22" w:name="_Toc27215"/>
      <w:bookmarkStart w:id="23" w:name="_Toc10194"/>
      <w:r>
        <w:rPr>
          <w:rFonts w:hint="eastAsia" w:ascii="宋体" w:hAnsi="宋体" w:eastAsia="宋体" w:cs="宋体"/>
          <w:b/>
          <w:bCs/>
          <w:color w:val="auto"/>
          <w:sz w:val="24"/>
          <w:szCs w:val="24"/>
          <w:highlight w:val="none"/>
        </w:rPr>
        <w:t>5.充分、公平竞争保障措施 (实质性要求)</w:t>
      </w:r>
      <w:bookmarkEnd w:id="22"/>
      <w:bookmarkEnd w:id="23"/>
    </w:p>
    <w:p>
      <w:pPr>
        <w:spacing w:line="240" w:lineRule="auto"/>
        <w:ind w:firstLine="241" w:firstLineChars="100"/>
        <w:rPr>
          <w:rFonts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5</w:t>
      </w:r>
      <w:r>
        <w:rPr>
          <w:rFonts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rPr>
        <w:t>1</w:t>
      </w:r>
      <w:r>
        <w:rPr>
          <w:rFonts w:ascii="宋体" w:hAnsi="宋体" w:eastAsia="宋体" w:cs="宋体"/>
          <w:b/>
          <w:bCs/>
          <w:color w:val="auto"/>
          <w:sz w:val="24"/>
          <w:szCs w:val="24"/>
          <w:highlight w:val="none"/>
        </w:rPr>
        <w:t xml:space="preserve"> 利害关系供应商处理。</w:t>
      </w:r>
      <w:r>
        <w:rPr>
          <w:rFonts w:ascii="宋体" w:hAnsi="宋体" w:eastAsia="宋体" w:cs="宋体"/>
          <w:color w:val="auto"/>
          <w:sz w:val="24"/>
          <w:szCs w:val="24"/>
          <w:highlight w:val="none"/>
        </w:rPr>
        <w:t>单位负责人为同一人或者存在直接控股、管理关系的不同供应商不得参加同一合同项下的采购活动。采购项目实行资格预审的，单位负责人为同一人或者存在直接控股、管理关系的不同供应商可以参加资格预审，但只能由供应商确定其中一家符合条件的供应商参加后续的采购活动，否则，其投标文件作为无效处理。</w:t>
      </w:r>
    </w:p>
    <w:p>
      <w:pPr>
        <w:spacing w:line="240" w:lineRule="auto"/>
        <w:ind w:firstLine="241" w:firstLineChars="100"/>
        <w:rPr>
          <w:rFonts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5.2 前期参与供应商处理。</w:t>
      </w:r>
      <w:r>
        <w:rPr>
          <w:rFonts w:ascii="宋体" w:hAnsi="宋体" w:eastAsia="宋体" w:cs="宋体"/>
          <w:color w:val="auto"/>
          <w:sz w:val="24"/>
          <w:szCs w:val="24"/>
          <w:highlight w:val="none"/>
        </w:rPr>
        <w:t>为采购项目提供整体设计、规范编制或者项目管理、监理、检测等服务的供应商，不得再参加该采购项目的其他采购活动。供应商为</w:t>
      </w:r>
      <w:r>
        <w:rPr>
          <w:rFonts w:hint="eastAsia" w:ascii="宋体" w:hAnsi="宋体" w:eastAsia="宋体" w:cs="宋体"/>
          <w:color w:val="auto"/>
          <w:sz w:val="24"/>
          <w:szCs w:val="24"/>
          <w:highlight w:val="none"/>
        </w:rPr>
        <w:t>招标人</w:t>
      </w:r>
      <w:r>
        <w:rPr>
          <w:rFonts w:ascii="宋体" w:hAnsi="宋体" w:eastAsia="宋体" w:cs="宋体"/>
          <w:color w:val="auto"/>
          <w:sz w:val="24"/>
          <w:szCs w:val="24"/>
          <w:highlight w:val="none"/>
        </w:rPr>
        <w:t>、</w:t>
      </w:r>
      <w:r>
        <w:rPr>
          <w:rFonts w:hint="eastAsia" w:ascii="宋体" w:hAnsi="宋体" w:eastAsia="宋体" w:cs="宋体"/>
          <w:color w:val="auto"/>
          <w:sz w:val="24"/>
          <w:szCs w:val="24"/>
          <w:highlight w:val="none"/>
        </w:rPr>
        <w:t>招标代理机构</w:t>
      </w:r>
      <w:r>
        <w:rPr>
          <w:rFonts w:ascii="宋体" w:hAnsi="宋体" w:eastAsia="宋体" w:cs="宋体"/>
          <w:color w:val="auto"/>
          <w:sz w:val="24"/>
          <w:szCs w:val="24"/>
          <w:highlight w:val="none"/>
        </w:rPr>
        <w:t>在确定采购需求、编制采购文件过程中提供咨询论证，其提供的咨询论证意见成为采购文件中规定的供应商资格条件、技术服务商务要求、评标因素和标准、采购合同等实质性内容条款的，视同为采购项目提供规范编制。</w:t>
      </w:r>
    </w:p>
    <w:p>
      <w:pPr>
        <w:spacing w:line="240" w:lineRule="auto"/>
        <w:ind w:firstLine="241" w:firstLineChars="100"/>
        <w:rPr>
          <w:rFonts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5.3 利害关系代理人处理。</w:t>
      </w:r>
      <w:r>
        <w:rPr>
          <w:rFonts w:hint="eastAsia" w:ascii="宋体" w:hAnsi="宋体" w:eastAsia="宋体" w:cs="宋体"/>
          <w:color w:val="auto"/>
          <w:sz w:val="24"/>
          <w:szCs w:val="24"/>
          <w:highlight w:val="none"/>
        </w:rPr>
        <w:t>两</w:t>
      </w:r>
      <w:r>
        <w:rPr>
          <w:rFonts w:ascii="宋体" w:hAnsi="宋体" w:eastAsia="宋体" w:cs="宋体"/>
          <w:color w:val="auto"/>
          <w:sz w:val="24"/>
          <w:szCs w:val="24"/>
          <w:highlight w:val="none"/>
        </w:rPr>
        <w:t>家以上的供应商不得在同一合同项下的采购项目中，同时委托同一个自然人、同一家庭的人员、同一单位的人员作为其</w:t>
      </w:r>
      <w:r>
        <w:rPr>
          <w:rFonts w:hint="eastAsia" w:ascii="宋体" w:hAnsi="宋体" w:eastAsia="宋体" w:cs="宋体"/>
          <w:color w:val="auto"/>
          <w:sz w:val="24"/>
          <w:szCs w:val="24"/>
          <w:highlight w:val="none"/>
        </w:rPr>
        <w:t>授权代表人，</w:t>
      </w:r>
      <w:r>
        <w:rPr>
          <w:rFonts w:ascii="宋体" w:hAnsi="宋体" w:eastAsia="宋体" w:cs="宋体"/>
          <w:color w:val="auto"/>
          <w:sz w:val="24"/>
          <w:szCs w:val="24"/>
          <w:highlight w:val="none"/>
        </w:rPr>
        <w:t>否则，其投标文件作为无效处理。</w:t>
      </w:r>
    </w:p>
    <w:p>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r>
        <w:rPr>
          <w:rFonts w:ascii="宋体" w:hAnsi="宋体" w:eastAsia="宋体" w:cs="宋体"/>
          <w:color w:val="auto"/>
          <w:sz w:val="24"/>
          <w:szCs w:val="24"/>
          <w:highlight w:val="none"/>
        </w:rPr>
        <w:t>.</w:t>
      </w:r>
      <w:r>
        <w:rPr>
          <w:rFonts w:hint="eastAsia" w:ascii="宋体" w:hAnsi="宋体" w:eastAsia="宋体" w:cs="宋体"/>
          <w:color w:val="auto"/>
          <w:sz w:val="24"/>
          <w:szCs w:val="24"/>
          <w:highlight w:val="none"/>
        </w:rPr>
        <w:t>4</w:t>
      </w:r>
      <w:r>
        <w:rPr>
          <w:rFonts w:ascii="宋体" w:hAnsi="宋体" w:eastAsia="宋体" w:cs="宋体"/>
          <w:color w:val="auto"/>
          <w:sz w:val="24"/>
          <w:szCs w:val="24"/>
          <w:highlight w:val="none"/>
        </w:rPr>
        <w:t xml:space="preserve"> 供应商实际控制人或者中高级管理人员，同时是</w:t>
      </w:r>
      <w:r>
        <w:rPr>
          <w:rFonts w:hint="eastAsia" w:ascii="宋体" w:hAnsi="宋体" w:eastAsia="宋体" w:cs="宋体"/>
          <w:color w:val="auto"/>
          <w:sz w:val="24"/>
          <w:szCs w:val="24"/>
          <w:highlight w:val="none"/>
        </w:rPr>
        <w:t>招标代理机构</w:t>
      </w:r>
      <w:r>
        <w:rPr>
          <w:rFonts w:ascii="宋体" w:hAnsi="宋体" w:eastAsia="宋体" w:cs="宋体"/>
          <w:color w:val="auto"/>
          <w:sz w:val="24"/>
          <w:szCs w:val="24"/>
          <w:highlight w:val="none"/>
        </w:rPr>
        <w:t>工作人员，不得参与本项目采购活动。</w:t>
      </w:r>
    </w:p>
    <w:p>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r>
        <w:rPr>
          <w:rFonts w:ascii="宋体" w:hAnsi="宋体" w:eastAsia="宋体" w:cs="宋体"/>
          <w:color w:val="auto"/>
          <w:sz w:val="24"/>
          <w:szCs w:val="24"/>
          <w:highlight w:val="none"/>
        </w:rPr>
        <w:t>.</w:t>
      </w:r>
      <w:r>
        <w:rPr>
          <w:rFonts w:hint="eastAsia" w:ascii="宋体" w:hAnsi="宋体" w:eastAsia="宋体" w:cs="宋体"/>
          <w:color w:val="auto"/>
          <w:sz w:val="24"/>
          <w:szCs w:val="24"/>
          <w:highlight w:val="none"/>
        </w:rPr>
        <w:t>5</w:t>
      </w:r>
      <w:r>
        <w:rPr>
          <w:rFonts w:ascii="宋体" w:hAnsi="宋体" w:eastAsia="宋体" w:cs="宋体"/>
          <w:color w:val="auto"/>
          <w:sz w:val="24"/>
          <w:szCs w:val="24"/>
          <w:highlight w:val="none"/>
        </w:rPr>
        <w:t xml:space="preserve"> 供应商与</w:t>
      </w:r>
      <w:r>
        <w:rPr>
          <w:rFonts w:hint="eastAsia" w:ascii="宋体" w:hAnsi="宋体" w:eastAsia="宋体" w:cs="宋体"/>
          <w:color w:val="auto"/>
          <w:sz w:val="24"/>
          <w:szCs w:val="24"/>
          <w:highlight w:val="none"/>
        </w:rPr>
        <w:t>招标代理机构</w:t>
      </w:r>
      <w:r>
        <w:rPr>
          <w:rFonts w:ascii="宋体" w:hAnsi="宋体" w:eastAsia="宋体" w:cs="宋体"/>
          <w:color w:val="auto"/>
          <w:sz w:val="24"/>
          <w:szCs w:val="24"/>
          <w:highlight w:val="none"/>
        </w:rPr>
        <w:t>存在关联关系，或者是</w:t>
      </w:r>
      <w:r>
        <w:rPr>
          <w:rFonts w:hint="eastAsia" w:ascii="宋体" w:hAnsi="宋体" w:eastAsia="宋体" w:cs="宋体"/>
          <w:color w:val="auto"/>
          <w:sz w:val="24"/>
          <w:szCs w:val="24"/>
          <w:highlight w:val="none"/>
        </w:rPr>
        <w:t>招标代理机构</w:t>
      </w:r>
      <w:r>
        <w:rPr>
          <w:rFonts w:ascii="宋体" w:hAnsi="宋体" w:eastAsia="宋体" w:cs="宋体"/>
          <w:color w:val="auto"/>
          <w:sz w:val="24"/>
          <w:szCs w:val="24"/>
          <w:highlight w:val="none"/>
        </w:rPr>
        <w:t>的母公司或子公司，不得参加本项目采购活动。</w:t>
      </w:r>
    </w:p>
    <w:p>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r>
        <w:rPr>
          <w:rFonts w:ascii="宋体" w:hAnsi="宋体" w:eastAsia="宋体" w:cs="宋体"/>
          <w:color w:val="auto"/>
          <w:sz w:val="24"/>
          <w:szCs w:val="24"/>
          <w:highlight w:val="none"/>
        </w:rPr>
        <w:t>.</w:t>
      </w:r>
      <w:r>
        <w:rPr>
          <w:rFonts w:hint="eastAsia" w:ascii="宋体" w:hAnsi="宋体" w:eastAsia="宋体" w:cs="宋体"/>
          <w:color w:val="auto"/>
          <w:sz w:val="24"/>
          <w:szCs w:val="24"/>
          <w:highlight w:val="none"/>
        </w:rPr>
        <w:t>6</w:t>
      </w:r>
      <w:r>
        <w:rPr>
          <w:rFonts w:ascii="宋体" w:hAnsi="宋体" w:eastAsia="宋体" w:cs="宋体"/>
          <w:color w:val="auto"/>
          <w:sz w:val="24"/>
          <w:szCs w:val="24"/>
          <w:highlight w:val="none"/>
        </w:rPr>
        <w:t xml:space="preserve"> 回避。采购活动中，</w:t>
      </w:r>
      <w:r>
        <w:rPr>
          <w:rFonts w:hint="eastAsia" w:ascii="宋体" w:hAnsi="宋体" w:eastAsia="宋体" w:cs="宋体"/>
          <w:color w:val="auto"/>
          <w:sz w:val="24"/>
          <w:szCs w:val="24"/>
          <w:highlight w:val="none"/>
        </w:rPr>
        <w:t>招标人</w:t>
      </w:r>
      <w:r>
        <w:rPr>
          <w:rFonts w:ascii="宋体" w:hAnsi="宋体" w:eastAsia="宋体" w:cs="宋体"/>
          <w:color w:val="auto"/>
          <w:sz w:val="24"/>
          <w:szCs w:val="24"/>
          <w:highlight w:val="none"/>
        </w:rPr>
        <w:t>员及相关人员与供应商有下列利害关系之一的，应当回避：</w:t>
      </w:r>
    </w:p>
    <w:p>
      <w:pPr>
        <w:spacing w:line="240" w:lineRule="auto"/>
        <w:ind w:firstLine="240" w:firstLineChars="100"/>
        <w:rPr>
          <w:rFonts w:ascii="宋体" w:hAnsi="宋体" w:eastAsia="宋体" w:cs="宋体"/>
          <w:color w:val="auto"/>
          <w:sz w:val="24"/>
          <w:szCs w:val="24"/>
          <w:highlight w:val="none"/>
        </w:rPr>
      </w:pPr>
      <w:r>
        <w:rPr>
          <w:rFonts w:ascii="宋体" w:hAnsi="宋体" w:eastAsia="宋体" w:cs="宋体"/>
          <w:color w:val="auto"/>
          <w:sz w:val="24"/>
          <w:szCs w:val="24"/>
          <w:highlight w:val="none"/>
        </w:rPr>
        <w:t>(1)参加采购活动前3年内与供应商存在劳动关系；</w:t>
      </w:r>
    </w:p>
    <w:p>
      <w:pPr>
        <w:spacing w:line="240" w:lineRule="auto"/>
        <w:ind w:firstLine="240" w:firstLineChars="100"/>
        <w:rPr>
          <w:rFonts w:ascii="宋体" w:hAnsi="宋体" w:eastAsia="宋体" w:cs="宋体"/>
          <w:color w:val="auto"/>
          <w:sz w:val="24"/>
          <w:szCs w:val="24"/>
          <w:highlight w:val="none"/>
        </w:rPr>
      </w:pPr>
      <w:r>
        <w:rPr>
          <w:rFonts w:ascii="宋体" w:hAnsi="宋体" w:eastAsia="宋体" w:cs="宋体"/>
          <w:color w:val="auto"/>
          <w:sz w:val="24"/>
          <w:szCs w:val="24"/>
          <w:highlight w:val="none"/>
        </w:rPr>
        <w:t>(2)参加采购活动前3年内担任供应商的董事、监事；</w:t>
      </w:r>
    </w:p>
    <w:p>
      <w:pPr>
        <w:spacing w:line="240" w:lineRule="auto"/>
        <w:ind w:firstLine="240" w:firstLineChars="100"/>
        <w:rPr>
          <w:rFonts w:ascii="宋体" w:hAnsi="宋体" w:eastAsia="宋体" w:cs="宋体"/>
          <w:color w:val="auto"/>
          <w:sz w:val="24"/>
          <w:szCs w:val="24"/>
          <w:highlight w:val="none"/>
        </w:rPr>
      </w:pPr>
      <w:r>
        <w:rPr>
          <w:rFonts w:ascii="宋体" w:hAnsi="宋体" w:eastAsia="宋体" w:cs="宋体"/>
          <w:color w:val="auto"/>
          <w:sz w:val="24"/>
          <w:szCs w:val="24"/>
          <w:highlight w:val="none"/>
        </w:rPr>
        <w:t>(3)参加采购活动前3年内是供应商的控股股东或者实际控制人；</w:t>
      </w:r>
    </w:p>
    <w:p>
      <w:pPr>
        <w:spacing w:line="240" w:lineRule="auto"/>
        <w:ind w:firstLine="240" w:firstLineChars="100"/>
        <w:rPr>
          <w:rFonts w:ascii="宋体" w:hAnsi="宋体" w:eastAsia="宋体" w:cs="宋体"/>
          <w:color w:val="auto"/>
          <w:sz w:val="24"/>
          <w:szCs w:val="24"/>
          <w:highlight w:val="none"/>
        </w:rPr>
      </w:pPr>
      <w:r>
        <w:rPr>
          <w:rFonts w:ascii="宋体" w:hAnsi="宋体" w:eastAsia="宋体" w:cs="宋体"/>
          <w:color w:val="auto"/>
          <w:sz w:val="24"/>
          <w:szCs w:val="24"/>
          <w:highlight w:val="none"/>
        </w:rPr>
        <w:t>(4)与供应商的法定代表人或者负责人有夫妻、直系血亲、三代以内旁系血亲或者近姻亲关系；</w:t>
      </w:r>
    </w:p>
    <w:p>
      <w:pPr>
        <w:spacing w:line="240" w:lineRule="auto"/>
        <w:ind w:firstLine="240" w:firstLineChars="100"/>
        <w:rPr>
          <w:rFonts w:ascii="宋体" w:hAnsi="宋体" w:eastAsia="宋体" w:cs="宋体"/>
          <w:color w:val="auto"/>
          <w:sz w:val="24"/>
          <w:szCs w:val="24"/>
          <w:highlight w:val="none"/>
        </w:rPr>
      </w:pPr>
      <w:r>
        <w:rPr>
          <w:rFonts w:ascii="宋体" w:hAnsi="宋体" w:eastAsia="宋体" w:cs="宋体"/>
          <w:color w:val="auto"/>
          <w:sz w:val="24"/>
          <w:szCs w:val="24"/>
          <w:highlight w:val="none"/>
        </w:rPr>
        <w:t>(5)与供应商有其他可能影响采购活动公平、公正进行的关系。</w:t>
      </w:r>
    </w:p>
    <w:p>
      <w:pPr>
        <w:spacing w:line="240" w:lineRule="auto"/>
        <w:ind w:firstLine="240" w:firstLineChars="100"/>
        <w:rPr>
          <w:rFonts w:ascii="宋体" w:hAnsi="宋体" w:eastAsia="宋体" w:cs="宋体"/>
          <w:color w:val="auto"/>
          <w:sz w:val="24"/>
          <w:szCs w:val="24"/>
          <w:highlight w:val="none"/>
        </w:rPr>
      </w:pPr>
      <w:r>
        <w:rPr>
          <w:rFonts w:ascii="宋体" w:hAnsi="宋体" w:eastAsia="宋体" w:cs="宋体"/>
          <w:color w:val="auto"/>
          <w:sz w:val="24"/>
          <w:szCs w:val="24"/>
          <w:highlight w:val="none"/>
        </w:rPr>
        <w:t>本项目采购活动中需要依法回避的</w:t>
      </w:r>
      <w:r>
        <w:rPr>
          <w:rFonts w:hint="eastAsia" w:ascii="宋体" w:hAnsi="宋体" w:eastAsia="宋体" w:cs="宋体"/>
          <w:color w:val="auto"/>
          <w:sz w:val="24"/>
          <w:szCs w:val="24"/>
          <w:highlight w:val="none"/>
        </w:rPr>
        <w:t>招标人</w:t>
      </w:r>
      <w:r>
        <w:rPr>
          <w:rFonts w:ascii="宋体" w:hAnsi="宋体" w:eastAsia="宋体" w:cs="宋体"/>
          <w:color w:val="auto"/>
          <w:sz w:val="24"/>
          <w:szCs w:val="24"/>
          <w:highlight w:val="none"/>
        </w:rPr>
        <w:t>员是指</w:t>
      </w:r>
      <w:r>
        <w:rPr>
          <w:rFonts w:hint="eastAsia" w:ascii="宋体" w:hAnsi="宋体" w:eastAsia="宋体" w:cs="宋体"/>
          <w:color w:val="auto"/>
          <w:sz w:val="24"/>
          <w:szCs w:val="24"/>
          <w:highlight w:val="none"/>
        </w:rPr>
        <w:t>招标人</w:t>
      </w:r>
      <w:r>
        <w:rPr>
          <w:rFonts w:ascii="宋体" w:hAnsi="宋体" w:eastAsia="宋体" w:cs="宋体"/>
          <w:color w:val="auto"/>
          <w:sz w:val="24"/>
          <w:szCs w:val="24"/>
          <w:highlight w:val="none"/>
        </w:rPr>
        <w:t>内部负责采购项目的具体经办工作人员和直接分管采购项目的负责人，以及</w:t>
      </w:r>
      <w:r>
        <w:rPr>
          <w:rFonts w:hint="eastAsia" w:ascii="宋体" w:hAnsi="宋体" w:eastAsia="宋体" w:cs="宋体"/>
          <w:color w:val="auto"/>
          <w:sz w:val="24"/>
          <w:szCs w:val="24"/>
          <w:highlight w:val="none"/>
        </w:rPr>
        <w:t>招标代理机构</w:t>
      </w:r>
      <w:r>
        <w:rPr>
          <w:rFonts w:ascii="宋体" w:hAnsi="宋体" w:eastAsia="宋体" w:cs="宋体"/>
          <w:color w:val="auto"/>
          <w:sz w:val="24"/>
          <w:szCs w:val="24"/>
          <w:highlight w:val="none"/>
        </w:rPr>
        <w:t>负责采购项目的具体经办工作人员和直接分管采购活动的负责人。本项目采购活动中需要依法回避的相关人员是指评标委员会成员。</w:t>
      </w:r>
    </w:p>
    <w:p>
      <w:pPr>
        <w:spacing w:line="240" w:lineRule="auto"/>
        <w:ind w:firstLine="240" w:firstLineChars="100"/>
        <w:rPr>
          <w:rFonts w:ascii="宋体" w:hAnsi="宋体" w:eastAsia="宋体" w:cs="宋体"/>
          <w:color w:val="auto"/>
          <w:sz w:val="23"/>
          <w:szCs w:val="23"/>
          <w:highlight w:val="none"/>
        </w:rPr>
      </w:pPr>
      <w:r>
        <w:rPr>
          <w:rFonts w:ascii="宋体" w:hAnsi="宋体" w:eastAsia="宋体" w:cs="宋体"/>
          <w:color w:val="auto"/>
          <w:sz w:val="24"/>
          <w:szCs w:val="24"/>
          <w:highlight w:val="none"/>
        </w:rPr>
        <w:t>供应商认为</w:t>
      </w:r>
      <w:r>
        <w:rPr>
          <w:rFonts w:hint="eastAsia" w:ascii="宋体" w:hAnsi="宋体" w:eastAsia="宋体" w:cs="宋体"/>
          <w:color w:val="auto"/>
          <w:sz w:val="24"/>
          <w:szCs w:val="24"/>
          <w:highlight w:val="none"/>
        </w:rPr>
        <w:t>招标人</w:t>
      </w:r>
      <w:r>
        <w:rPr>
          <w:rFonts w:ascii="宋体" w:hAnsi="宋体" w:eastAsia="宋体" w:cs="宋体"/>
          <w:color w:val="auto"/>
          <w:sz w:val="24"/>
          <w:szCs w:val="24"/>
          <w:highlight w:val="none"/>
        </w:rPr>
        <w:t>员及相关人员与其他供应商有利害关系的，可以向</w:t>
      </w:r>
      <w:r>
        <w:rPr>
          <w:rFonts w:hint="eastAsia" w:ascii="宋体" w:hAnsi="宋体" w:eastAsia="宋体" w:cs="宋体"/>
          <w:color w:val="auto"/>
          <w:sz w:val="24"/>
          <w:szCs w:val="24"/>
          <w:highlight w:val="none"/>
        </w:rPr>
        <w:t>招标代理机构</w:t>
      </w:r>
      <w:r>
        <w:rPr>
          <w:rFonts w:ascii="宋体" w:hAnsi="宋体" w:eastAsia="宋体" w:cs="宋体"/>
          <w:color w:val="auto"/>
          <w:sz w:val="24"/>
          <w:szCs w:val="24"/>
          <w:highlight w:val="none"/>
        </w:rPr>
        <w:t>书面提出回避申请，并说明理由。</w:t>
      </w:r>
      <w:r>
        <w:rPr>
          <w:rFonts w:hint="eastAsia" w:ascii="宋体" w:hAnsi="宋体" w:eastAsia="宋体" w:cs="宋体"/>
          <w:color w:val="auto"/>
          <w:sz w:val="24"/>
          <w:szCs w:val="24"/>
          <w:highlight w:val="none"/>
        </w:rPr>
        <w:t>招标代理机构</w:t>
      </w:r>
      <w:r>
        <w:rPr>
          <w:rFonts w:ascii="宋体" w:hAnsi="宋体" w:eastAsia="宋体" w:cs="宋体"/>
          <w:color w:val="auto"/>
          <w:sz w:val="24"/>
          <w:szCs w:val="24"/>
          <w:highlight w:val="none"/>
        </w:rPr>
        <w:t>将及时询问被申请回避人员，有利害关系的被申请回避人员应当回避。</w:t>
      </w:r>
    </w:p>
    <w:p>
      <w:pPr>
        <w:spacing w:line="240" w:lineRule="auto"/>
        <w:ind w:firstLine="622" w:firstLineChars="200"/>
        <w:jc w:val="center"/>
        <w:outlineLvl w:val="1"/>
        <w:rPr>
          <w:rFonts w:ascii="宋体" w:hAnsi="宋体" w:eastAsia="宋体" w:cs="宋体"/>
          <w:b/>
          <w:bCs/>
          <w:color w:val="auto"/>
          <w:sz w:val="31"/>
          <w:szCs w:val="31"/>
          <w:highlight w:val="none"/>
        </w:rPr>
      </w:pPr>
      <w:bookmarkStart w:id="24" w:name="_Toc21423"/>
      <w:bookmarkStart w:id="25" w:name="_Toc29728"/>
      <w:r>
        <w:rPr>
          <w:rFonts w:hint="eastAsia" w:ascii="宋体" w:hAnsi="宋体" w:eastAsia="宋体" w:cs="宋体"/>
          <w:b/>
          <w:bCs/>
          <w:color w:val="auto"/>
          <w:sz w:val="31"/>
          <w:szCs w:val="31"/>
          <w:highlight w:val="none"/>
        </w:rPr>
        <w:t>三、招标文件</w:t>
      </w:r>
      <w:bookmarkEnd w:id="24"/>
      <w:bookmarkEnd w:id="25"/>
    </w:p>
    <w:p>
      <w:pPr>
        <w:spacing w:line="240" w:lineRule="auto"/>
        <w:outlineLvl w:val="9"/>
        <w:rPr>
          <w:rFonts w:ascii="宋体" w:hAnsi="宋体" w:eastAsia="宋体" w:cs="宋体"/>
          <w:b/>
          <w:bCs/>
          <w:color w:val="auto"/>
          <w:sz w:val="24"/>
          <w:szCs w:val="24"/>
          <w:highlight w:val="none"/>
        </w:rPr>
      </w:pPr>
      <w:bookmarkStart w:id="26" w:name="_Toc26538"/>
      <w:bookmarkStart w:id="27" w:name="_Toc30193"/>
      <w:r>
        <w:rPr>
          <w:rFonts w:hint="eastAsia" w:ascii="宋体" w:hAnsi="宋体" w:eastAsia="宋体" w:cs="宋体"/>
          <w:b/>
          <w:bCs/>
          <w:color w:val="auto"/>
          <w:sz w:val="24"/>
          <w:szCs w:val="24"/>
          <w:highlight w:val="none"/>
        </w:rPr>
        <w:t>6.招标文件的构成</w:t>
      </w:r>
      <w:bookmarkEnd w:id="26"/>
      <w:bookmarkEnd w:id="27"/>
    </w:p>
    <w:p>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r>
        <w:rPr>
          <w:rFonts w:ascii="宋体" w:hAnsi="宋体" w:eastAsia="宋体" w:cs="宋体"/>
          <w:color w:val="auto"/>
          <w:sz w:val="24"/>
          <w:szCs w:val="24"/>
          <w:highlight w:val="none"/>
        </w:rPr>
        <w:t>.1 招标文件是供应商准备投标文件和参加投标的依据，同时也是评标的重要依据，具有准法律文件性质。招标文件用以阐明招标项目所需的资质、技术、服务及报价等要求、招标投标程序、有关规定和注意事项以及合同主要条款等。本招标文件包括以下内容：</w:t>
      </w:r>
    </w:p>
    <w:p>
      <w:pPr>
        <w:spacing w:line="240" w:lineRule="auto"/>
        <w:ind w:firstLine="240" w:firstLineChars="100"/>
        <w:rPr>
          <w:rFonts w:ascii="宋体" w:hAnsi="宋体" w:eastAsia="宋体" w:cs="宋体"/>
          <w:color w:val="auto"/>
          <w:sz w:val="24"/>
          <w:szCs w:val="24"/>
          <w:highlight w:val="none"/>
        </w:rPr>
      </w:pPr>
      <w:r>
        <w:rPr>
          <w:rFonts w:ascii="宋体" w:hAnsi="宋体" w:eastAsia="宋体" w:cs="宋体"/>
          <w:color w:val="auto"/>
          <w:sz w:val="24"/>
          <w:szCs w:val="24"/>
          <w:highlight w:val="none"/>
        </w:rPr>
        <w:t>(一) 投标邀请；</w:t>
      </w:r>
    </w:p>
    <w:p>
      <w:pPr>
        <w:spacing w:line="240" w:lineRule="auto"/>
        <w:ind w:firstLine="240" w:firstLineChars="100"/>
        <w:rPr>
          <w:rFonts w:ascii="宋体" w:hAnsi="宋体" w:eastAsia="宋体" w:cs="宋体"/>
          <w:color w:val="auto"/>
          <w:sz w:val="24"/>
          <w:szCs w:val="24"/>
          <w:highlight w:val="none"/>
        </w:rPr>
      </w:pPr>
      <w:r>
        <w:rPr>
          <w:rFonts w:ascii="宋体" w:hAnsi="宋体" w:eastAsia="宋体" w:cs="宋体"/>
          <w:color w:val="auto"/>
          <w:sz w:val="24"/>
          <w:szCs w:val="24"/>
          <w:highlight w:val="none"/>
        </w:rPr>
        <w:t>(二) 投标人须知；</w:t>
      </w:r>
    </w:p>
    <w:p>
      <w:pPr>
        <w:spacing w:line="240" w:lineRule="auto"/>
        <w:ind w:firstLine="240" w:firstLineChars="100"/>
        <w:rPr>
          <w:rFonts w:ascii="宋体" w:hAnsi="宋体" w:eastAsia="宋体" w:cs="宋体"/>
          <w:color w:val="auto"/>
          <w:sz w:val="24"/>
          <w:szCs w:val="24"/>
          <w:highlight w:val="none"/>
        </w:rPr>
      </w:pPr>
      <w:r>
        <w:rPr>
          <w:rFonts w:ascii="宋体" w:hAnsi="宋体" w:eastAsia="宋体" w:cs="宋体"/>
          <w:color w:val="auto"/>
          <w:sz w:val="24"/>
          <w:szCs w:val="24"/>
          <w:highlight w:val="none"/>
        </w:rPr>
        <w:t>(三) 投标文件格式；</w:t>
      </w:r>
    </w:p>
    <w:p>
      <w:pPr>
        <w:spacing w:line="240" w:lineRule="auto"/>
        <w:ind w:firstLine="240" w:firstLineChars="100"/>
        <w:rPr>
          <w:rFonts w:ascii="宋体" w:hAnsi="宋体" w:eastAsia="宋体" w:cs="宋体"/>
          <w:color w:val="auto"/>
          <w:sz w:val="24"/>
          <w:szCs w:val="24"/>
          <w:highlight w:val="none"/>
        </w:rPr>
      </w:pPr>
      <w:r>
        <w:rPr>
          <w:rFonts w:ascii="宋体" w:hAnsi="宋体" w:eastAsia="宋体" w:cs="宋体"/>
          <w:color w:val="auto"/>
          <w:sz w:val="24"/>
          <w:szCs w:val="24"/>
          <w:highlight w:val="none"/>
        </w:rPr>
        <w:t>(四) 投标人和投标产品的资格、资质性及其他类似效力要求；</w:t>
      </w:r>
    </w:p>
    <w:p>
      <w:pPr>
        <w:spacing w:line="240" w:lineRule="auto"/>
        <w:ind w:firstLine="240" w:firstLineChars="100"/>
        <w:rPr>
          <w:rFonts w:ascii="宋体" w:hAnsi="宋体" w:eastAsia="宋体" w:cs="宋体"/>
          <w:color w:val="auto"/>
          <w:sz w:val="24"/>
          <w:szCs w:val="24"/>
          <w:highlight w:val="none"/>
        </w:rPr>
      </w:pPr>
      <w:r>
        <w:rPr>
          <w:rFonts w:ascii="宋体" w:hAnsi="宋体" w:eastAsia="宋体" w:cs="宋体"/>
          <w:color w:val="auto"/>
          <w:sz w:val="24"/>
          <w:szCs w:val="24"/>
          <w:highlight w:val="none"/>
        </w:rPr>
        <w:t>(五)</w:t>
      </w:r>
      <w:r>
        <w:rPr>
          <w:rFonts w:hint="eastAsia" w:ascii="宋体" w:hAnsi="宋体" w:eastAsia="宋体" w:cs="宋体"/>
          <w:color w:val="auto"/>
          <w:sz w:val="24"/>
          <w:szCs w:val="24"/>
          <w:highlight w:val="none"/>
        </w:rPr>
        <w:t xml:space="preserve"> </w:t>
      </w:r>
      <w:r>
        <w:rPr>
          <w:rFonts w:ascii="宋体" w:hAnsi="宋体" w:eastAsia="宋体" w:cs="宋体"/>
          <w:color w:val="auto"/>
          <w:sz w:val="24"/>
          <w:szCs w:val="24"/>
          <w:highlight w:val="none"/>
        </w:rPr>
        <w:t>投标人应当提供的资格、资质性及其他类似效力要求的相关证明材料；</w:t>
      </w:r>
    </w:p>
    <w:p>
      <w:pPr>
        <w:spacing w:line="240" w:lineRule="auto"/>
        <w:ind w:firstLine="240" w:firstLineChars="100"/>
        <w:rPr>
          <w:rFonts w:ascii="宋体" w:hAnsi="宋体" w:eastAsia="宋体" w:cs="宋体"/>
          <w:color w:val="auto"/>
          <w:sz w:val="24"/>
          <w:szCs w:val="24"/>
          <w:highlight w:val="none"/>
        </w:rPr>
      </w:pPr>
      <w:r>
        <w:rPr>
          <w:rFonts w:ascii="宋体" w:hAnsi="宋体" w:eastAsia="宋体" w:cs="宋体"/>
          <w:color w:val="auto"/>
          <w:sz w:val="24"/>
          <w:szCs w:val="24"/>
          <w:highlight w:val="none"/>
        </w:rPr>
        <w:t>(六) 招标项目技术</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服务</w:t>
      </w:r>
      <w:r>
        <w:rPr>
          <w:rFonts w:ascii="宋体" w:hAnsi="宋体" w:eastAsia="宋体" w:cs="宋体"/>
          <w:color w:val="auto"/>
          <w:sz w:val="24"/>
          <w:szCs w:val="24"/>
          <w:highlight w:val="none"/>
        </w:rPr>
        <w:t>及商务要求；</w:t>
      </w:r>
    </w:p>
    <w:p>
      <w:pPr>
        <w:spacing w:line="240" w:lineRule="auto"/>
        <w:ind w:firstLine="240" w:firstLineChars="100"/>
        <w:rPr>
          <w:rFonts w:ascii="宋体" w:hAnsi="宋体" w:eastAsia="宋体" w:cs="宋体"/>
          <w:color w:val="auto"/>
          <w:sz w:val="24"/>
          <w:szCs w:val="24"/>
          <w:highlight w:val="none"/>
        </w:rPr>
      </w:pPr>
      <w:r>
        <w:rPr>
          <w:rFonts w:ascii="宋体" w:hAnsi="宋体" w:eastAsia="宋体" w:cs="宋体"/>
          <w:color w:val="auto"/>
          <w:sz w:val="24"/>
          <w:szCs w:val="24"/>
          <w:highlight w:val="none"/>
        </w:rPr>
        <w:t>(七) 评标办法；</w:t>
      </w:r>
    </w:p>
    <w:p>
      <w:pPr>
        <w:spacing w:line="240" w:lineRule="auto"/>
        <w:ind w:firstLine="240" w:firstLineChars="100"/>
        <w:rPr>
          <w:rFonts w:ascii="宋体" w:hAnsi="宋体" w:eastAsia="宋体" w:cs="宋体"/>
          <w:color w:val="auto"/>
          <w:sz w:val="24"/>
          <w:szCs w:val="24"/>
          <w:highlight w:val="none"/>
        </w:rPr>
      </w:pPr>
      <w:r>
        <w:rPr>
          <w:rFonts w:ascii="宋体" w:hAnsi="宋体" w:eastAsia="宋体" w:cs="宋体"/>
          <w:color w:val="auto"/>
          <w:sz w:val="24"/>
          <w:szCs w:val="24"/>
          <w:highlight w:val="none"/>
        </w:rPr>
        <w:t>(八) 合同主要条款。</w:t>
      </w:r>
    </w:p>
    <w:p>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r>
        <w:rPr>
          <w:rFonts w:ascii="宋体" w:hAnsi="宋体" w:eastAsia="宋体" w:cs="宋体"/>
          <w:color w:val="auto"/>
          <w:sz w:val="24"/>
          <w:szCs w:val="24"/>
          <w:highlight w:val="none"/>
        </w:rPr>
        <w:t>.2 投标人应认真阅读和充分理解招标文件中所有的事项、格式条款和规范要求。投标人没有对招标文件全面做出实质性响应是投标人的风险。</w:t>
      </w:r>
    </w:p>
    <w:p>
      <w:pPr>
        <w:spacing w:line="240" w:lineRule="auto"/>
        <w:outlineLvl w:val="9"/>
        <w:rPr>
          <w:rFonts w:ascii="宋体" w:hAnsi="宋体" w:eastAsia="宋体" w:cs="宋体"/>
          <w:b/>
          <w:bCs/>
          <w:color w:val="auto"/>
          <w:sz w:val="24"/>
          <w:szCs w:val="24"/>
          <w:highlight w:val="none"/>
        </w:rPr>
      </w:pPr>
      <w:bookmarkStart w:id="28" w:name="_Toc5879"/>
      <w:bookmarkStart w:id="29" w:name="_Toc2852"/>
      <w:r>
        <w:rPr>
          <w:rFonts w:hint="eastAsia" w:ascii="宋体" w:hAnsi="宋体" w:eastAsia="宋体" w:cs="宋体"/>
          <w:b/>
          <w:bCs/>
          <w:color w:val="auto"/>
          <w:sz w:val="24"/>
          <w:szCs w:val="24"/>
          <w:highlight w:val="none"/>
        </w:rPr>
        <w:t>7.招标文件的澄清和修改</w:t>
      </w:r>
      <w:bookmarkEnd w:id="28"/>
      <w:bookmarkEnd w:id="29"/>
    </w:p>
    <w:p>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r>
        <w:rPr>
          <w:rFonts w:ascii="宋体" w:hAnsi="宋体" w:eastAsia="宋体" w:cs="宋体"/>
          <w:color w:val="auto"/>
          <w:sz w:val="24"/>
          <w:szCs w:val="24"/>
          <w:highlight w:val="none"/>
        </w:rPr>
        <w:t>.1 招标采购单位可以依法对招标文件进行澄清或者修改。</w:t>
      </w:r>
    </w:p>
    <w:p>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r>
        <w:rPr>
          <w:rFonts w:ascii="宋体" w:hAnsi="宋体" w:eastAsia="宋体" w:cs="宋体"/>
          <w:color w:val="auto"/>
          <w:sz w:val="24"/>
          <w:szCs w:val="24"/>
          <w:highlight w:val="none"/>
        </w:rPr>
        <w:t>.2 招标采购单位对已发出的招标文件进行澄清或者修改，澄清或者修改的内容可能影响投标文件编制的，将在招标文件要求的提交投标文件截止时间至少十五日前进行，并以书面形式将澄清或者修改的内容通知所有获取招标文件的潜在投标人，同时在</w:t>
      </w:r>
      <w:r>
        <w:rPr>
          <w:rFonts w:hint="eastAsia" w:ascii="宋体" w:hAnsi="宋体" w:eastAsia="宋体" w:cs="宋体"/>
          <w:color w:val="auto"/>
          <w:sz w:val="24"/>
          <w:szCs w:val="24"/>
          <w:highlight w:val="none"/>
        </w:rPr>
        <w:t>中国招标投标公共服务平台（http://www.cebpubservice.com/）</w:t>
      </w:r>
      <w:r>
        <w:rPr>
          <w:rFonts w:ascii="宋体" w:hAnsi="宋体" w:eastAsia="宋体" w:cs="宋体"/>
          <w:color w:val="auto"/>
          <w:sz w:val="24"/>
          <w:szCs w:val="24"/>
          <w:highlight w:val="none"/>
        </w:rPr>
        <w:t>发布更正公告；不足15日的，应当顺延提交投标文件的截止时间。该澄清或者修改的内容为招标文件的组成部分。</w:t>
      </w:r>
    </w:p>
    <w:p>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r>
        <w:rPr>
          <w:rFonts w:ascii="宋体" w:hAnsi="宋体" w:eastAsia="宋体" w:cs="宋体"/>
          <w:color w:val="auto"/>
          <w:sz w:val="24"/>
          <w:szCs w:val="24"/>
          <w:highlight w:val="none"/>
        </w:rPr>
        <w:t>.3 在投标截止时间前，招标采购单位可以视采购具体情况，延长投标截止时间和开标时间。</w:t>
      </w:r>
    </w:p>
    <w:p>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r>
        <w:rPr>
          <w:rFonts w:ascii="宋体" w:hAnsi="宋体" w:eastAsia="宋体" w:cs="宋体"/>
          <w:color w:val="auto"/>
          <w:sz w:val="24"/>
          <w:szCs w:val="24"/>
          <w:highlight w:val="none"/>
        </w:rPr>
        <w:t>.4 投标人认为需要对招标文件进行澄清或者修改的，可以以书面形式向招标采购单位提出申请，但招标采购单位可以决定是否采纳投标人的申请事项。</w:t>
      </w:r>
    </w:p>
    <w:p>
      <w:pPr>
        <w:spacing w:line="240" w:lineRule="auto"/>
        <w:outlineLvl w:val="9"/>
        <w:rPr>
          <w:rFonts w:ascii="宋体" w:hAnsi="宋体" w:eastAsia="宋体" w:cs="宋体"/>
          <w:b/>
          <w:bCs/>
          <w:color w:val="auto"/>
          <w:sz w:val="24"/>
          <w:szCs w:val="24"/>
          <w:highlight w:val="none"/>
        </w:rPr>
      </w:pPr>
      <w:bookmarkStart w:id="30" w:name="_Toc29062"/>
      <w:bookmarkStart w:id="31" w:name="_Toc21063"/>
      <w:r>
        <w:rPr>
          <w:rFonts w:hint="eastAsia" w:ascii="宋体" w:hAnsi="宋体" w:eastAsia="宋体" w:cs="宋体"/>
          <w:b/>
          <w:bCs/>
          <w:color w:val="auto"/>
          <w:sz w:val="24"/>
          <w:szCs w:val="24"/>
          <w:highlight w:val="none"/>
        </w:rPr>
        <w:t>8.答疑会和现场考察</w:t>
      </w:r>
      <w:bookmarkEnd w:id="30"/>
      <w:bookmarkEnd w:id="31"/>
    </w:p>
    <w:p>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8.1 根据采购项目和具体情况，招标采购单位认为有必要，可以在招标文件提供期限截止后，组织已获取招标文件的潜在投标人现场考察或者召开开标前答疑会。组织现场考察或者召开答疑会的，应当以书面形式通知所有获取招标文件的潜在投标人。</w:t>
      </w:r>
    </w:p>
    <w:p>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8.2 供应商考察现场所发生的一切费用由供应商自己承担。</w:t>
      </w:r>
    </w:p>
    <w:p>
      <w:pPr>
        <w:spacing w:line="240" w:lineRule="auto"/>
        <w:ind w:firstLine="241" w:firstLineChars="100"/>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现场考察/标前答疑会时间：本项目不组织。</w:t>
      </w:r>
    </w:p>
    <w:p>
      <w:pPr>
        <w:spacing w:line="240" w:lineRule="auto"/>
        <w:ind w:firstLine="241" w:firstLineChars="100"/>
        <w:rPr>
          <w:rFonts w:ascii="宋体" w:hAnsi="宋体" w:eastAsia="宋体" w:cs="宋体"/>
          <w:b/>
          <w:bCs/>
          <w:color w:val="auto"/>
          <w:sz w:val="23"/>
          <w:szCs w:val="23"/>
          <w:highlight w:val="none"/>
        </w:rPr>
      </w:pPr>
      <w:r>
        <w:rPr>
          <w:rFonts w:hint="eastAsia" w:ascii="宋体" w:hAnsi="宋体" w:eastAsia="宋体" w:cs="宋体"/>
          <w:b/>
          <w:bCs/>
          <w:color w:val="auto"/>
          <w:sz w:val="24"/>
          <w:szCs w:val="24"/>
          <w:highlight w:val="none"/>
        </w:rPr>
        <w:t>现场考察/标前答疑会地点：本项目不组织。</w:t>
      </w:r>
    </w:p>
    <w:p>
      <w:pPr>
        <w:spacing w:line="240" w:lineRule="auto"/>
        <w:ind w:firstLine="622" w:firstLineChars="200"/>
        <w:jc w:val="center"/>
        <w:outlineLvl w:val="1"/>
        <w:rPr>
          <w:rFonts w:ascii="宋体" w:hAnsi="宋体" w:eastAsia="宋体" w:cs="宋体"/>
          <w:b/>
          <w:bCs/>
          <w:color w:val="auto"/>
          <w:sz w:val="31"/>
          <w:szCs w:val="31"/>
          <w:highlight w:val="none"/>
        </w:rPr>
      </w:pPr>
      <w:bookmarkStart w:id="32" w:name="_Toc11956"/>
      <w:bookmarkStart w:id="33" w:name="_Toc9364"/>
      <w:r>
        <w:rPr>
          <w:rFonts w:hint="eastAsia" w:ascii="宋体" w:hAnsi="宋体" w:eastAsia="宋体" w:cs="宋体"/>
          <w:b/>
          <w:bCs/>
          <w:color w:val="auto"/>
          <w:sz w:val="31"/>
          <w:szCs w:val="31"/>
          <w:highlight w:val="none"/>
        </w:rPr>
        <w:t>四、投标文件</w:t>
      </w:r>
      <w:bookmarkEnd w:id="32"/>
      <w:bookmarkEnd w:id="33"/>
    </w:p>
    <w:p>
      <w:pPr>
        <w:spacing w:line="240" w:lineRule="auto"/>
        <w:rPr>
          <w:color w:val="auto"/>
          <w:highlight w:val="none"/>
        </w:rPr>
      </w:pPr>
    </w:p>
    <w:p>
      <w:pPr>
        <w:spacing w:line="240" w:lineRule="auto"/>
        <w:outlineLvl w:val="9"/>
        <w:rPr>
          <w:rFonts w:ascii="宋体" w:hAnsi="宋体" w:eastAsia="宋体" w:cs="宋体"/>
          <w:b/>
          <w:bCs/>
          <w:color w:val="auto"/>
          <w:sz w:val="24"/>
          <w:szCs w:val="24"/>
          <w:highlight w:val="none"/>
        </w:rPr>
      </w:pPr>
      <w:bookmarkStart w:id="34" w:name="_Toc18013"/>
      <w:bookmarkStart w:id="35" w:name="_Toc17087"/>
      <w:r>
        <w:rPr>
          <w:rFonts w:hint="eastAsia" w:ascii="宋体" w:hAnsi="宋体" w:eastAsia="宋体" w:cs="宋体"/>
          <w:b/>
          <w:bCs/>
          <w:color w:val="auto"/>
          <w:sz w:val="24"/>
          <w:szCs w:val="24"/>
          <w:highlight w:val="none"/>
        </w:rPr>
        <w:t>9.投标文件的语言 (实质性要求)</w:t>
      </w:r>
      <w:bookmarkEnd w:id="34"/>
      <w:bookmarkEnd w:id="35"/>
    </w:p>
    <w:p>
      <w:pPr>
        <w:spacing w:line="240" w:lineRule="auto"/>
        <w:ind w:firstLine="240" w:firstLineChars="100"/>
        <w:rPr>
          <w:rFonts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9.1 投标人提交的投标文件以及投标人与招标采购单位就有关投标的所有来往书面文件均须使用中文。</w:t>
      </w:r>
      <w:r>
        <w:rPr>
          <w:rFonts w:hint="eastAsia" w:ascii="宋体" w:hAnsi="宋体" w:eastAsia="宋体" w:cs="宋体"/>
          <w:b/>
          <w:bCs/>
          <w:color w:val="auto"/>
          <w:sz w:val="24"/>
          <w:szCs w:val="24"/>
          <w:highlight w:val="none"/>
        </w:rPr>
        <w:t>投标文件中如附有外文资料，必须逐一对应翻译成中文并加盖投标人公章后附在相关外文资料后面，否则，该外文资料将可能被视为无效材料。(说明：供应商的法定代表人或负责人为外籍人士的，法定代表人或负责人的签字和护照除外。)</w:t>
      </w:r>
    </w:p>
    <w:p>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9.2 翻译的中文资料与外文资料如果出现差异和矛盾时，以中文为准。涉嫌虚假响应的按照相关法律法规处理。</w:t>
      </w:r>
    </w:p>
    <w:p>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9.3 未翻译的外文资料，评标委员会可将其视为无效材料。</w:t>
      </w:r>
    </w:p>
    <w:p>
      <w:pPr>
        <w:spacing w:line="240" w:lineRule="auto"/>
        <w:outlineLvl w:val="9"/>
        <w:rPr>
          <w:rFonts w:ascii="宋体" w:hAnsi="宋体" w:eastAsia="宋体" w:cs="宋体"/>
          <w:b/>
          <w:bCs/>
          <w:color w:val="auto"/>
          <w:sz w:val="24"/>
          <w:szCs w:val="24"/>
          <w:highlight w:val="none"/>
        </w:rPr>
      </w:pPr>
      <w:bookmarkStart w:id="36" w:name="_Toc935"/>
      <w:bookmarkStart w:id="37" w:name="_Toc17534"/>
      <w:r>
        <w:rPr>
          <w:rFonts w:hint="eastAsia" w:ascii="宋体" w:hAnsi="宋体" w:eastAsia="宋体" w:cs="宋体"/>
          <w:b/>
          <w:bCs/>
          <w:color w:val="auto"/>
          <w:sz w:val="24"/>
          <w:szCs w:val="24"/>
          <w:highlight w:val="none"/>
        </w:rPr>
        <w:t>10.计量单位 (实质性要求)</w:t>
      </w:r>
      <w:bookmarkEnd w:id="36"/>
      <w:bookmarkEnd w:id="37"/>
    </w:p>
    <w:p>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除招标文件中另有规定外，本次采购项目所有合同项下的投标均采用国家法定的计量单位。</w:t>
      </w:r>
    </w:p>
    <w:p>
      <w:pPr>
        <w:spacing w:line="240" w:lineRule="auto"/>
        <w:outlineLvl w:val="9"/>
        <w:rPr>
          <w:rFonts w:ascii="宋体" w:hAnsi="宋体" w:eastAsia="宋体" w:cs="宋体"/>
          <w:b/>
          <w:bCs/>
          <w:color w:val="auto"/>
          <w:sz w:val="24"/>
          <w:szCs w:val="24"/>
          <w:highlight w:val="none"/>
        </w:rPr>
      </w:pPr>
      <w:bookmarkStart w:id="38" w:name="_Toc6193"/>
      <w:bookmarkStart w:id="39" w:name="_Toc10586"/>
      <w:r>
        <w:rPr>
          <w:rFonts w:hint="eastAsia" w:ascii="宋体" w:hAnsi="宋体" w:eastAsia="宋体" w:cs="宋体"/>
          <w:b/>
          <w:bCs/>
          <w:color w:val="auto"/>
          <w:sz w:val="24"/>
          <w:szCs w:val="24"/>
          <w:highlight w:val="none"/>
        </w:rPr>
        <w:t>11.投标货币 (实质性要求)</w:t>
      </w:r>
      <w:bookmarkEnd w:id="38"/>
      <w:bookmarkEnd w:id="39"/>
    </w:p>
    <w:p>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本次招标项目的投标均以人民币报价。</w:t>
      </w:r>
    </w:p>
    <w:p>
      <w:pPr>
        <w:spacing w:line="240" w:lineRule="auto"/>
        <w:outlineLvl w:val="9"/>
        <w:rPr>
          <w:rFonts w:ascii="宋体" w:hAnsi="宋体" w:eastAsia="宋体" w:cs="宋体"/>
          <w:b/>
          <w:bCs/>
          <w:color w:val="auto"/>
          <w:sz w:val="24"/>
          <w:szCs w:val="24"/>
          <w:highlight w:val="none"/>
        </w:rPr>
      </w:pPr>
      <w:bookmarkStart w:id="40" w:name="_Toc2356"/>
      <w:bookmarkStart w:id="41" w:name="_Toc9144"/>
      <w:r>
        <w:rPr>
          <w:rFonts w:hint="eastAsia" w:ascii="宋体" w:hAnsi="宋体" w:eastAsia="宋体" w:cs="宋体"/>
          <w:b/>
          <w:bCs/>
          <w:color w:val="auto"/>
          <w:sz w:val="24"/>
          <w:szCs w:val="24"/>
          <w:highlight w:val="none"/>
        </w:rPr>
        <w:t>12.联合体投标 (实质性要求)</w:t>
      </w:r>
      <w:bookmarkEnd w:id="40"/>
      <w:bookmarkEnd w:id="41"/>
    </w:p>
    <w:p>
      <w:pPr>
        <w:spacing w:line="240" w:lineRule="auto"/>
        <w:ind w:firstLine="241" w:firstLineChars="100"/>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本次招标不接受联合体投标。</w:t>
      </w:r>
    </w:p>
    <w:p>
      <w:pPr>
        <w:spacing w:line="240" w:lineRule="auto"/>
        <w:outlineLvl w:val="9"/>
        <w:rPr>
          <w:rFonts w:ascii="宋体" w:hAnsi="宋体" w:eastAsia="宋体" w:cs="宋体"/>
          <w:b/>
          <w:bCs/>
          <w:color w:val="auto"/>
          <w:sz w:val="24"/>
          <w:szCs w:val="24"/>
          <w:highlight w:val="none"/>
        </w:rPr>
      </w:pPr>
      <w:bookmarkStart w:id="42" w:name="_Toc9644"/>
      <w:bookmarkStart w:id="43" w:name="_Toc19716"/>
      <w:r>
        <w:rPr>
          <w:rFonts w:hint="eastAsia" w:ascii="宋体" w:hAnsi="宋体" w:eastAsia="宋体" w:cs="宋体"/>
          <w:b/>
          <w:bCs/>
          <w:color w:val="auto"/>
          <w:sz w:val="24"/>
          <w:szCs w:val="24"/>
          <w:highlight w:val="none"/>
        </w:rPr>
        <w:t>13.知识产权 (实质性要求)</w:t>
      </w:r>
      <w:bookmarkEnd w:id="42"/>
      <w:bookmarkEnd w:id="43"/>
    </w:p>
    <w:p>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13.1 投标人应保证在本项目使用的任何产品和服务(包括部分使用)时，不会产生因第三方提出侵犯其专利权、商标权或其它知识产权而引起的法律和经济纠纷，如因专利权、商标权或其它知识产权而引起法律和经济纠纷，由投标人承担所有相关责任。</w:t>
      </w:r>
    </w:p>
    <w:p>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13.2 招标人享有本项目实施过程中产生的知识成果及知识产权。</w:t>
      </w:r>
    </w:p>
    <w:p>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13.3 投标人如欲在项目实施过程中采用自有知识成果，</w:t>
      </w:r>
      <w:r>
        <w:rPr>
          <w:rFonts w:hint="eastAsia" w:ascii="宋体" w:hAnsi="宋体" w:eastAsia="宋体" w:cs="宋体"/>
          <w:color w:val="auto"/>
          <w:sz w:val="24"/>
          <w:szCs w:val="24"/>
          <w:highlight w:val="none"/>
          <w:lang w:eastAsia="zh-CN"/>
        </w:rPr>
        <w:t>须</w:t>
      </w:r>
      <w:r>
        <w:rPr>
          <w:rFonts w:hint="eastAsia" w:ascii="宋体" w:hAnsi="宋体" w:eastAsia="宋体" w:cs="宋体"/>
          <w:color w:val="auto"/>
          <w:sz w:val="24"/>
          <w:szCs w:val="24"/>
          <w:highlight w:val="none"/>
        </w:rPr>
        <w:t>在投标文件中声明，并提供相关知识产权证明文件。使用该知识成果后，投标人需提供开发接口和开发手册等技术文档，并承诺提供无限期技术支持，招标人享有永久使用权(含招标人委托第三方在该项目后续开发的使用权) 。</w:t>
      </w:r>
    </w:p>
    <w:p>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13.4 如采用投标人所不拥有的知识产权，则在投标报价中必须包括合法获取该知识产权的相关费用。</w:t>
      </w:r>
    </w:p>
    <w:p>
      <w:pPr>
        <w:spacing w:line="240" w:lineRule="auto"/>
        <w:outlineLvl w:val="9"/>
        <w:rPr>
          <w:rFonts w:ascii="宋体" w:hAnsi="宋体" w:eastAsia="宋体" w:cs="宋体"/>
          <w:b/>
          <w:bCs/>
          <w:color w:val="auto"/>
          <w:sz w:val="24"/>
          <w:szCs w:val="24"/>
          <w:highlight w:val="none"/>
        </w:rPr>
      </w:pPr>
      <w:bookmarkStart w:id="44" w:name="_Toc27512"/>
      <w:bookmarkStart w:id="45" w:name="_Toc29270"/>
      <w:r>
        <w:rPr>
          <w:rFonts w:hint="eastAsia" w:ascii="宋体" w:hAnsi="宋体" w:eastAsia="宋体" w:cs="宋体"/>
          <w:b/>
          <w:bCs/>
          <w:color w:val="auto"/>
          <w:sz w:val="24"/>
          <w:szCs w:val="24"/>
          <w:highlight w:val="none"/>
        </w:rPr>
        <w:t>14.投标文件的组成</w:t>
      </w:r>
      <w:bookmarkEnd w:id="44"/>
      <w:bookmarkEnd w:id="45"/>
    </w:p>
    <w:p>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投标人应按照招标文件的规定和要求编制投标文件。投标人拟在中标后将中标项目的非主体、非关键性工作交由他人分包完成的，应当在投标文件中载明。投标人编写的投标文件应包括下列两部分：</w:t>
      </w:r>
    </w:p>
    <w:p>
      <w:pPr>
        <w:spacing w:line="240" w:lineRule="auto"/>
        <w:outlineLvl w:val="9"/>
        <w:rPr>
          <w:rFonts w:ascii="宋体" w:hAnsi="宋体" w:eastAsia="宋体" w:cs="宋体"/>
          <w:b/>
          <w:bCs/>
          <w:color w:val="auto"/>
          <w:sz w:val="24"/>
          <w:szCs w:val="24"/>
          <w:highlight w:val="none"/>
        </w:rPr>
      </w:pPr>
      <w:bookmarkStart w:id="46" w:name="_Toc25525"/>
      <w:bookmarkStart w:id="47" w:name="_Toc1820"/>
      <w:r>
        <w:rPr>
          <w:rFonts w:hint="eastAsia" w:ascii="宋体" w:hAnsi="宋体" w:eastAsia="宋体" w:cs="宋体"/>
          <w:b/>
          <w:bCs/>
          <w:color w:val="auto"/>
          <w:sz w:val="24"/>
          <w:szCs w:val="24"/>
          <w:highlight w:val="none"/>
        </w:rPr>
        <w:t>14.1 第一部分:资格性投标文件</w:t>
      </w:r>
      <w:bookmarkEnd w:id="46"/>
      <w:bookmarkEnd w:id="47"/>
    </w:p>
    <w:p>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按照招标文件第四、五章要求，提供相关资格、资质性及其他类似效力要求的相关证明材料。</w:t>
      </w:r>
    </w:p>
    <w:p>
      <w:pPr>
        <w:spacing w:line="240" w:lineRule="auto"/>
        <w:outlineLvl w:val="9"/>
        <w:rPr>
          <w:rFonts w:ascii="宋体" w:hAnsi="宋体" w:eastAsia="宋体" w:cs="宋体"/>
          <w:b/>
          <w:bCs/>
          <w:color w:val="auto"/>
          <w:sz w:val="24"/>
          <w:szCs w:val="24"/>
          <w:highlight w:val="none"/>
        </w:rPr>
      </w:pPr>
      <w:bookmarkStart w:id="48" w:name="_Toc23733"/>
      <w:bookmarkStart w:id="49" w:name="_Toc28961"/>
      <w:r>
        <w:rPr>
          <w:rFonts w:hint="eastAsia" w:ascii="宋体" w:hAnsi="宋体" w:eastAsia="宋体" w:cs="宋体"/>
          <w:b/>
          <w:bCs/>
          <w:color w:val="auto"/>
          <w:sz w:val="24"/>
          <w:szCs w:val="24"/>
          <w:highlight w:val="none"/>
        </w:rPr>
        <w:t>14.2 第二部分:其他响应性投标文件</w:t>
      </w:r>
      <w:bookmarkEnd w:id="48"/>
      <w:bookmarkEnd w:id="49"/>
    </w:p>
    <w:p>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按照招标文件要求提供 (包括但不限于) 以下五个方面的相关材料。</w:t>
      </w:r>
    </w:p>
    <w:p>
      <w:pPr>
        <w:spacing w:line="240" w:lineRule="auto"/>
        <w:rPr>
          <w:rFonts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14.2.1 报价部分。</w:t>
      </w:r>
      <w:r>
        <w:rPr>
          <w:rFonts w:ascii="宋体" w:hAnsi="宋体" w:eastAsia="宋体" w:cs="宋体"/>
          <w:color w:val="auto"/>
          <w:sz w:val="24"/>
          <w:szCs w:val="24"/>
          <w:highlight w:val="none"/>
        </w:rPr>
        <w:t>投标人按照招标文件要求填写的“开标一览表”。本次招标报价要求：</w:t>
      </w:r>
    </w:p>
    <w:p>
      <w:pPr>
        <w:spacing w:line="240" w:lineRule="auto"/>
        <w:ind w:firstLine="241" w:firstLineChars="100"/>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 投标人的报价是投标人响应招标项目要求的全部工作内容的价格体现，包括投标人完成本项目所需的一切费用(实质性要求) 。</w:t>
      </w:r>
    </w:p>
    <w:p>
      <w:pPr>
        <w:spacing w:line="240" w:lineRule="auto"/>
        <w:ind w:firstLine="241" w:firstLineChars="100"/>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 投标人每种货物只允许有一个报价，并且在合同履行过程中是固定不变的，任何有选择或可调整的报价将不予接受，并按无效投标处理 (实质性要求) 。</w:t>
      </w:r>
    </w:p>
    <w:p>
      <w:pPr>
        <w:spacing w:line="240" w:lineRule="auto"/>
        <w:ind w:firstLine="241" w:firstLineChars="100"/>
        <w:rPr>
          <w:rFonts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14.2.2 技术、服务部分。</w:t>
      </w:r>
      <w:r>
        <w:rPr>
          <w:rFonts w:hint="eastAsia" w:ascii="宋体" w:hAnsi="宋体" w:eastAsia="宋体" w:cs="宋体"/>
          <w:color w:val="auto"/>
          <w:sz w:val="24"/>
          <w:szCs w:val="24"/>
          <w:highlight w:val="none"/>
        </w:rPr>
        <w:t>投标人按照招标文件要求做出的</w:t>
      </w:r>
      <w:r>
        <w:rPr>
          <w:rFonts w:hint="eastAsia" w:ascii="宋体" w:hAnsi="宋体" w:eastAsia="宋体" w:cs="宋体"/>
          <w:b/>
          <w:bCs/>
          <w:color w:val="auto"/>
          <w:sz w:val="24"/>
          <w:szCs w:val="24"/>
          <w:highlight w:val="none"/>
        </w:rPr>
        <w:t>技术、</w:t>
      </w:r>
      <w:r>
        <w:rPr>
          <w:rFonts w:hint="eastAsia" w:ascii="宋体" w:hAnsi="宋体" w:eastAsia="宋体" w:cs="宋体"/>
          <w:color w:val="auto"/>
          <w:sz w:val="24"/>
          <w:szCs w:val="24"/>
          <w:highlight w:val="none"/>
        </w:rPr>
        <w:t>服务应答，主要是针对招标项目的技术、服务内容做出的实质性响应和满足。投标人的</w:t>
      </w:r>
      <w:r>
        <w:rPr>
          <w:rFonts w:hint="eastAsia" w:ascii="宋体" w:hAnsi="宋体" w:eastAsia="宋体" w:cs="宋体"/>
          <w:b/>
          <w:bCs/>
          <w:color w:val="auto"/>
          <w:sz w:val="24"/>
          <w:szCs w:val="24"/>
          <w:highlight w:val="none"/>
        </w:rPr>
        <w:t>技术</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服务</w:t>
      </w:r>
      <w:r>
        <w:rPr>
          <w:rFonts w:hint="eastAsia" w:ascii="宋体" w:hAnsi="宋体" w:eastAsia="宋体" w:cs="宋体"/>
          <w:color w:val="auto"/>
          <w:sz w:val="24"/>
          <w:szCs w:val="24"/>
          <w:highlight w:val="none"/>
        </w:rPr>
        <w:t>应答包括下列内容（如涉及）：</w:t>
      </w:r>
    </w:p>
    <w:p>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(1) </w:t>
      </w:r>
      <w:r>
        <w:rPr>
          <w:rFonts w:hint="eastAsia" w:ascii="宋体" w:hAnsi="宋体" w:eastAsia="宋体" w:cs="宋体"/>
          <w:color w:val="auto"/>
          <w:sz w:val="24"/>
          <w:szCs w:val="24"/>
          <w:highlight w:val="none"/>
          <w:lang w:val="en-US" w:eastAsia="zh-CN"/>
        </w:rPr>
        <w:t>技术实施方案、服务方案、售后方案等</w:t>
      </w:r>
      <w:r>
        <w:rPr>
          <w:rFonts w:hint="eastAsia" w:ascii="宋体" w:hAnsi="宋体" w:eastAsia="宋体" w:cs="宋体"/>
          <w:color w:val="auto"/>
          <w:sz w:val="24"/>
          <w:szCs w:val="24"/>
          <w:highlight w:val="none"/>
        </w:rPr>
        <w:t>；</w:t>
      </w:r>
    </w:p>
    <w:p>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 技术</w:t>
      </w:r>
      <w:r>
        <w:rPr>
          <w:rFonts w:hint="eastAsia" w:ascii="宋体" w:hAnsi="宋体" w:eastAsia="宋体" w:cs="宋体"/>
          <w:color w:val="auto"/>
          <w:sz w:val="24"/>
          <w:szCs w:val="24"/>
          <w:highlight w:val="none"/>
          <w:lang w:val="en-US" w:eastAsia="zh-CN"/>
        </w:rPr>
        <w:t>服务</w:t>
      </w:r>
      <w:r>
        <w:rPr>
          <w:rFonts w:hint="eastAsia" w:ascii="宋体" w:hAnsi="宋体" w:eastAsia="宋体" w:cs="宋体"/>
          <w:color w:val="auto"/>
          <w:sz w:val="24"/>
          <w:szCs w:val="24"/>
          <w:highlight w:val="none"/>
        </w:rPr>
        <w:t>应答表；</w:t>
      </w:r>
    </w:p>
    <w:p>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 投标人认为需要提供的文件和资料。</w:t>
      </w:r>
    </w:p>
    <w:p>
      <w:pPr>
        <w:spacing w:line="240" w:lineRule="auto"/>
        <w:ind w:firstLine="241" w:firstLineChars="100"/>
        <w:rPr>
          <w:rFonts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14.2.3 商务部分。</w:t>
      </w:r>
      <w:r>
        <w:rPr>
          <w:rFonts w:hint="eastAsia" w:ascii="宋体" w:hAnsi="宋体" w:eastAsia="宋体" w:cs="宋体"/>
          <w:color w:val="auto"/>
          <w:sz w:val="24"/>
          <w:szCs w:val="24"/>
          <w:highlight w:val="none"/>
        </w:rPr>
        <w:t>投标人按照招标文件要求提供的有关文件及优惠承诺。</w:t>
      </w:r>
    </w:p>
    <w:p>
      <w:pPr>
        <w:spacing w:line="240" w:lineRule="auto"/>
        <w:rPr>
          <w:rFonts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包括以下内容（如涉及）：</w:t>
      </w:r>
    </w:p>
    <w:p>
      <w:pPr>
        <w:numPr>
          <w:ilvl w:val="0"/>
          <w:numId w:val="3"/>
        </w:num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投标函；</w:t>
      </w:r>
    </w:p>
    <w:p>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 商务应答表；</w:t>
      </w:r>
    </w:p>
    <w:p>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 投标人基本情况表；</w:t>
      </w:r>
    </w:p>
    <w:p>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(4) 投标人类似项目业绩一览表；</w:t>
      </w:r>
    </w:p>
    <w:p>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(5) 投标人本项目拟任管理、技术、服务人员情况表；</w:t>
      </w:r>
    </w:p>
    <w:p>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(6) 投标人认为需要提供的文件和资料以及综合评分所需的材料。</w:t>
      </w:r>
    </w:p>
    <w:p>
      <w:pPr>
        <w:spacing w:line="240" w:lineRule="auto"/>
        <w:ind w:firstLine="241" w:firstLineChars="100"/>
        <w:rPr>
          <w:rFonts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14.2.4 后续服务。</w:t>
      </w:r>
      <w:r>
        <w:rPr>
          <w:rFonts w:hint="eastAsia" w:ascii="宋体" w:hAnsi="宋体" w:eastAsia="宋体" w:cs="宋体"/>
          <w:color w:val="auto"/>
          <w:sz w:val="24"/>
          <w:szCs w:val="24"/>
          <w:highlight w:val="none"/>
        </w:rPr>
        <w:t>投标人按照招标文件中后续服务要求作出的积极响应和承诺。</w:t>
      </w:r>
    </w:p>
    <w:p>
      <w:pPr>
        <w:spacing w:line="240" w:lineRule="auto"/>
        <w:ind w:firstLine="241" w:firstLineChars="100"/>
        <w:rPr>
          <w:rFonts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14.2.5 其他部分。</w:t>
      </w:r>
      <w:r>
        <w:rPr>
          <w:rFonts w:hint="eastAsia" w:ascii="宋体" w:hAnsi="宋体" w:eastAsia="宋体" w:cs="宋体"/>
          <w:color w:val="auto"/>
          <w:sz w:val="24"/>
          <w:szCs w:val="24"/>
          <w:highlight w:val="none"/>
        </w:rPr>
        <w:t>投标人按照招标文件要求作出的其他应答和承诺。</w:t>
      </w:r>
    </w:p>
    <w:p>
      <w:pPr>
        <w:spacing w:line="240" w:lineRule="auto"/>
        <w:outlineLvl w:val="9"/>
        <w:rPr>
          <w:rFonts w:ascii="宋体" w:hAnsi="宋体" w:eastAsia="宋体" w:cs="宋体"/>
          <w:b/>
          <w:bCs/>
          <w:color w:val="auto"/>
          <w:sz w:val="24"/>
          <w:szCs w:val="24"/>
          <w:highlight w:val="none"/>
        </w:rPr>
      </w:pPr>
      <w:bookmarkStart w:id="50" w:name="_Toc20681"/>
      <w:bookmarkStart w:id="51" w:name="_Toc22129"/>
      <w:r>
        <w:rPr>
          <w:rFonts w:hint="eastAsia" w:ascii="宋体" w:hAnsi="宋体" w:eastAsia="宋体" w:cs="宋体"/>
          <w:b/>
          <w:bCs/>
          <w:color w:val="auto"/>
          <w:sz w:val="24"/>
          <w:szCs w:val="24"/>
          <w:highlight w:val="none"/>
        </w:rPr>
        <w:t>15.投标文件格式</w:t>
      </w:r>
      <w:bookmarkEnd w:id="50"/>
      <w:bookmarkEnd w:id="51"/>
    </w:p>
    <w:p>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15.1 投标人应执行招标文件第三章的规定要求。</w:t>
      </w:r>
    </w:p>
    <w:p>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15.2 对于没有格式要求的投标文件由投标人自行编写。</w:t>
      </w:r>
    </w:p>
    <w:p>
      <w:pPr>
        <w:spacing w:line="240" w:lineRule="auto"/>
        <w:outlineLvl w:val="9"/>
        <w:rPr>
          <w:rFonts w:ascii="宋体" w:hAnsi="宋体" w:eastAsia="宋体" w:cs="宋体"/>
          <w:b/>
          <w:bCs/>
          <w:color w:val="auto"/>
          <w:sz w:val="24"/>
          <w:szCs w:val="24"/>
          <w:highlight w:val="none"/>
        </w:rPr>
      </w:pPr>
      <w:bookmarkStart w:id="52" w:name="_Toc28121"/>
      <w:bookmarkStart w:id="53" w:name="_Toc17412"/>
      <w:r>
        <w:rPr>
          <w:rFonts w:hint="eastAsia" w:ascii="宋体" w:hAnsi="宋体" w:eastAsia="宋体" w:cs="宋体"/>
          <w:b/>
          <w:bCs/>
          <w:color w:val="auto"/>
          <w:sz w:val="24"/>
          <w:szCs w:val="24"/>
          <w:highlight w:val="none"/>
        </w:rPr>
        <w:t>16.投标保证金 (实质性要求)</w:t>
      </w:r>
      <w:bookmarkEnd w:id="52"/>
      <w:bookmarkEnd w:id="53"/>
    </w:p>
    <w:p>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本项目不收取投标保证金。</w:t>
      </w:r>
    </w:p>
    <w:p>
      <w:pPr>
        <w:spacing w:line="240" w:lineRule="auto"/>
        <w:outlineLvl w:val="9"/>
        <w:rPr>
          <w:rFonts w:ascii="宋体" w:hAnsi="宋体" w:eastAsia="宋体" w:cs="宋体"/>
          <w:b/>
          <w:bCs/>
          <w:color w:val="auto"/>
          <w:sz w:val="24"/>
          <w:szCs w:val="24"/>
          <w:highlight w:val="none"/>
        </w:rPr>
      </w:pPr>
      <w:bookmarkStart w:id="54" w:name="_Toc30177"/>
      <w:bookmarkStart w:id="55" w:name="_Toc32075"/>
      <w:r>
        <w:rPr>
          <w:rFonts w:hint="eastAsia" w:ascii="宋体" w:hAnsi="宋体" w:eastAsia="宋体" w:cs="宋体"/>
          <w:b/>
          <w:bCs/>
          <w:color w:val="auto"/>
          <w:sz w:val="24"/>
          <w:szCs w:val="24"/>
          <w:highlight w:val="none"/>
        </w:rPr>
        <w:t>17.投标有效期 (实质性要求)</w:t>
      </w:r>
      <w:bookmarkEnd w:id="54"/>
      <w:bookmarkEnd w:id="55"/>
    </w:p>
    <w:p>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17.1 </w:t>
      </w:r>
      <w:r>
        <w:rPr>
          <w:rFonts w:hint="eastAsia" w:ascii="宋体" w:hAnsi="宋体" w:eastAsia="宋体" w:cs="宋体"/>
          <w:b/>
          <w:bCs/>
          <w:color w:val="auto"/>
          <w:sz w:val="24"/>
          <w:szCs w:val="24"/>
          <w:highlight w:val="none"/>
        </w:rPr>
        <w:t>本项目投标有效期为投标截止之日起90天</w:t>
      </w:r>
      <w:r>
        <w:rPr>
          <w:rFonts w:hint="eastAsia" w:ascii="宋体" w:hAnsi="宋体" w:eastAsia="宋体" w:cs="宋体"/>
          <w:color w:val="auto"/>
          <w:sz w:val="24"/>
          <w:szCs w:val="24"/>
          <w:highlight w:val="none"/>
        </w:rPr>
        <w:t>。投标人投标文件中必须载明投标有效期，投标文件中载明的投标有效期可以长于招标文件规定的期限，但不得短于招标文件规定的期限。否则，其投标文件将作为无效投标处理。</w:t>
      </w:r>
    </w:p>
    <w:p>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17.2 因不可抗力事件，招标人可于投标有效期届满之前与投标人协商延长投标有效期。投标人拒绝延长投标有效期的，不得再参与该项目后续采购活动，但由此给投标人造成的损失，招标人可以自主决定是否可以给予适当补偿。投标人同意延长投标有效期的，不能修改投标文件。</w:t>
      </w:r>
    </w:p>
    <w:p>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17.3 因招标人采购需求作出必要调整，招标人可于投标有效期届满之前与投标人协商延长投标有效期。投标人拒绝延长投标有效期的，不得再参与该项目后续采购活动，但由此给投标人造成的损失，招标人应当予以赔偿或者合理补偿。投标人同意延长投标有效期的，不能修改投标文件。</w:t>
      </w:r>
    </w:p>
    <w:p>
      <w:pPr>
        <w:spacing w:line="240" w:lineRule="auto"/>
        <w:outlineLvl w:val="9"/>
        <w:rPr>
          <w:rFonts w:ascii="宋体" w:hAnsi="宋体" w:eastAsia="宋体" w:cs="宋体"/>
          <w:b/>
          <w:bCs/>
          <w:color w:val="auto"/>
          <w:sz w:val="24"/>
          <w:szCs w:val="24"/>
          <w:highlight w:val="none"/>
        </w:rPr>
      </w:pPr>
      <w:bookmarkStart w:id="56" w:name="_Toc4045"/>
      <w:bookmarkStart w:id="57" w:name="_Toc2789"/>
      <w:r>
        <w:rPr>
          <w:rFonts w:hint="eastAsia" w:ascii="宋体" w:hAnsi="宋体" w:eastAsia="宋体" w:cs="宋体"/>
          <w:b/>
          <w:bCs/>
          <w:color w:val="auto"/>
          <w:sz w:val="24"/>
          <w:szCs w:val="24"/>
          <w:highlight w:val="none"/>
        </w:rPr>
        <w:t>18.投标文件的印制和签署</w:t>
      </w:r>
      <w:bookmarkEnd w:id="56"/>
      <w:bookmarkEnd w:id="57"/>
    </w:p>
    <w:p>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18.1 投标文件分为“资格性投标文件”和“其他响应性投标文件”两部分。</w:t>
      </w:r>
    </w:p>
    <w:p>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18.2 </w:t>
      </w:r>
      <w:r>
        <w:rPr>
          <w:rFonts w:hint="eastAsia" w:ascii="宋体" w:hAnsi="宋体" w:eastAsia="宋体" w:cs="宋体"/>
          <w:b/>
          <w:bCs/>
          <w:color w:val="auto"/>
          <w:sz w:val="24"/>
          <w:szCs w:val="24"/>
          <w:highlight w:val="none"/>
        </w:rPr>
        <w:t>资格性投标文件正本1份副本</w:t>
      </w:r>
      <w:r>
        <w:rPr>
          <w:rFonts w:hint="default" w:ascii="宋体" w:hAnsi="宋体" w:eastAsia="宋体" w:cs="宋体"/>
          <w:b/>
          <w:bCs/>
          <w:color w:val="auto"/>
          <w:sz w:val="24"/>
          <w:szCs w:val="24"/>
          <w:highlight w:val="none"/>
          <w:lang w:val="en-US"/>
        </w:rPr>
        <w:t>2</w:t>
      </w:r>
      <w:r>
        <w:rPr>
          <w:rFonts w:hint="eastAsia" w:ascii="宋体" w:hAnsi="宋体" w:eastAsia="宋体" w:cs="宋体"/>
          <w:b/>
          <w:bCs/>
          <w:color w:val="auto"/>
          <w:sz w:val="24"/>
          <w:szCs w:val="24"/>
          <w:highlight w:val="none"/>
        </w:rPr>
        <w:t>份</w:t>
      </w:r>
      <w:r>
        <w:rPr>
          <w:rFonts w:hint="eastAsia" w:ascii="宋体" w:hAnsi="宋体" w:eastAsia="宋体" w:cs="宋体"/>
          <w:color w:val="auto"/>
          <w:sz w:val="24"/>
          <w:szCs w:val="24"/>
          <w:highlight w:val="none"/>
        </w:rPr>
        <w:t>，并在其封面上清楚地标明资格性投标文件、项目名称、项目编号、投标人名称以 及“正本”或“副本”字样。若正本和副本有不一致的内容，以正本书面投标文件为准。</w:t>
      </w:r>
    </w:p>
    <w:p>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18.3 </w:t>
      </w:r>
      <w:r>
        <w:rPr>
          <w:rFonts w:hint="eastAsia" w:ascii="宋体" w:hAnsi="宋体" w:eastAsia="宋体" w:cs="宋体"/>
          <w:b/>
          <w:bCs/>
          <w:color w:val="auto"/>
          <w:sz w:val="24"/>
          <w:szCs w:val="24"/>
          <w:highlight w:val="none"/>
        </w:rPr>
        <w:t>其他响应性投标文件正本1份副本</w:t>
      </w:r>
      <w:r>
        <w:rPr>
          <w:rFonts w:hint="default" w:ascii="宋体" w:hAnsi="宋体" w:eastAsia="宋体" w:cs="宋体"/>
          <w:b/>
          <w:bCs/>
          <w:color w:val="auto"/>
          <w:sz w:val="24"/>
          <w:szCs w:val="24"/>
          <w:highlight w:val="none"/>
          <w:lang w:val="en-US"/>
        </w:rPr>
        <w:t>2</w:t>
      </w:r>
      <w:r>
        <w:rPr>
          <w:rFonts w:hint="eastAsia" w:ascii="宋体" w:hAnsi="宋体" w:eastAsia="宋体" w:cs="宋体"/>
          <w:b/>
          <w:bCs/>
          <w:color w:val="auto"/>
          <w:sz w:val="24"/>
          <w:szCs w:val="24"/>
          <w:highlight w:val="none"/>
        </w:rPr>
        <w:t>份</w:t>
      </w:r>
      <w:r>
        <w:rPr>
          <w:rFonts w:hint="eastAsia" w:ascii="宋体" w:hAnsi="宋体" w:eastAsia="宋体" w:cs="宋体"/>
          <w:color w:val="auto"/>
          <w:sz w:val="24"/>
          <w:szCs w:val="24"/>
          <w:highlight w:val="none"/>
        </w:rPr>
        <w:t>，并在其封面上清楚地标明其他响应性投标文件、项目名称、项目编号、投标人名称以及“正本”或“副本”字样。若正本和副本有不一致的内容，以正本书面投标文件为准。</w:t>
      </w:r>
    </w:p>
    <w:p>
      <w:pPr>
        <w:spacing w:line="240" w:lineRule="auto"/>
        <w:ind w:firstLine="241" w:firstLineChars="100"/>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投标人编制的其他响应性投标文件正本中应当包含投标函、开标一览表等内容。</w:t>
      </w:r>
    </w:p>
    <w:p>
      <w:pPr>
        <w:pStyle w:val="15"/>
        <w:spacing w:after="0"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18.4</w:t>
      </w:r>
      <w:r>
        <w:rPr>
          <w:rFonts w:hint="eastAsia" w:ascii="宋体" w:hAnsi="宋体" w:eastAsia="宋体" w:cs="宋体"/>
          <w:b/>
          <w:bCs/>
          <w:color w:val="auto"/>
          <w:sz w:val="24"/>
          <w:szCs w:val="24"/>
          <w:highlight w:val="none"/>
        </w:rPr>
        <w:t>“电子文档”1份</w:t>
      </w:r>
      <w:r>
        <w:rPr>
          <w:rFonts w:hint="eastAsia" w:ascii="宋体" w:hAnsi="宋体" w:eastAsia="宋体" w:cs="宋体"/>
          <w:color w:val="auto"/>
          <w:sz w:val="24"/>
          <w:szCs w:val="24"/>
          <w:highlight w:val="none"/>
        </w:rPr>
        <w:t>（电子文档应采用U盘制作包括资格性投标文件</w:t>
      </w:r>
      <w:r>
        <w:rPr>
          <w:rFonts w:hint="eastAsia" w:ascii="宋体" w:hAnsi="宋体" w:eastAsia="宋体" w:cs="宋体"/>
          <w:color w:val="auto"/>
          <w:sz w:val="24"/>
          <w:szCs w:val="24"/>
          <w:highlight w:val="none"/>
          <w:lang w:eastAsia="zh-CN"/>
        </w:rPr>
        <w:t>和其他</w:t>
      </w:r>
      <w:r>
        <w:rPr>
          <w:rFonts w:hint="eastAsia" w:ascii="宋体" w:hAnsi="宋体" w:eastAsia="宋体" w:cs="宋体"/>
          <w:color w:val="auto"/>
          <w:sz w:val="24"/>
          <w:szCs w:val="24"/>
          <w:highlight w:val="none"/>
        </w:rPr>
        <w:t>响应性投标</w:t>
      </w:r>
      <w:r>
        <w:rPr>
          <w:rFonts w:hint="eastAsia" w:ascii="宋体" w:hAnsi="宋体" w:eastAsia="宋体" w:cs="宋体"/>
          <w:color w:val="auto"/>
          <w:sz w:val="24"/>
          <w:szCs w:val="24"/>
          <w:highlight w:val="none"/>
          <w:lang w:val="en-US" w:eastAsia="zh-CN"/>
        </w:rPr>
        <w:t>文件</w:t>
      </w:r>
      <w:r>
        <w:rPr>
          <w:rFonts w:hint="eastAsia" w:ascii="宋体" w:hAnsi="宋体" w:eastAsia="宋体" w:cs="宋体"/>
          <w:color w:val="auto"/>
          <w:sz w:val="24"/>
          <w:szCs w:val="24"/>
          <w:highlight w:val="none"/>
        </w:rPr>
        <w:t>，电子文档和递交的纸质文件完全一致）。</w:t>
      </w:r>
    </w:p>
    <w:p>
      <w:pPr>
        <w:spacing w:line="240" w:lineRule="auto"/>
        <w:ind w:firstLine="241" w:firstLineChars="100"/>
        <w:rPr>
          <w:rFonts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18.5 单独提供用于开标唱标的“开标一览表”原件1份(实质性要求) ，</w:t>
      </w:r>
      <w:r>
        <w:rPr>
          <w:rFonts w:ascii="宋体" w:hAnsi="宋体" w:eastAsia="宋体" w:cs="宋体"/>
          <w:color w:val="auto"/>
          <w:sz w:val="24"/>
          <w:szCs w:val="24"/>
          <w:highlight w:val="none"/>
        </w:rPr>
        <w:t>并清楚地标明开标一览表、项目名称、项目编号、投标人名称。</w:t>
      </w:r>
    </w:p>
    <w:p>
      <w:pPr>
        <w:spacing w:line="240" w:lineRule="auto"/>
        <w:ind w:firstLine="240" w:firstLineChars="100"/>
        <w:rPr>
          <w:rFonts w:ascii="宋体" w:hAnsi="宋体" w:eastAsia="宋体" w:cs="宋体"/>
          <w:color w:val="auto"/>
          <w:sz w:val="24"/>
          <w:szCs w:val="24"/>
          <w:highlight w:val="none"/>
        </w:rPr>
      </w:pPr>
      <w:r>
        <w:rPr>
          <w:rFonts w:ascii="宋体" w:hAnsi="宋体" w:eastAsia="宋体" w:cs="宋体"/>
          <w:color w:val="auto"/>
          <w:sz w:val="24"/>
          <w:szCs w:val="24"/>
          <w:highlight w:val="none"/>
        </w:rPr>
        <w:t>1</w:t>
      </w:r>
      <w:r>
        <w:rPr>
          <w:rFonts w:hint="eastAsia" w:ascii="宋体" w:hAnsi="宋体" w:eastAsia="宋体" w:cs="宋体"/>
          <w:color w:val="auto"/>
          <w:sz w:val="24"/>
          <w:szCs w:val="24"/>
          <w:highlight w:val="none"/>
        </w:rPr>
        <w:t>8</w:t>
      </w:r>
      <w:r>
        <w:rPr>
          <w:rFonts w:ascii="宋体" w:hAnsi="宋体" w:eastAsia="宋体" w:cs="宋体"/>
          <w:color w:val="auto"/>
          <w:sz w:val="24"/>
          <w:szCs w:val="24"/>
          <w:highlight w:val="none"/>
        </w:rPr>
        <w:t>.</w:t>
      </w:r>
      <w:r>
        <w:rPr>
          <w:rFonts w:hint="eastAsia" w:ascii="宋体" w:hAnsi="宋体" w:eastAsia="宋体" w:cs="宋体"/>
          <w:color w:val="auto"/>
          <w:sz w:val="24"/>
          <w:szCs w:val="24"/>
          <w:highlight w:val="none"/>
        </w:rPr>
        <w:t>6</w:t>
      </w:r>
      <w:r>
        <w:rPr>
          <w:rFonts w:ascii="宋体" w:hAnsi="宋体" w:eastAsia="宋体" w:cs="宋体"/>
          <w:color w:val="auto"/>
          <w:sz w:val="24"/>
          <w:szCs w:val="24"/>
          <w:highlight w:val="none"/>
        </w:rPr>
        <w:t xml:space="preserve"> 投标文件的正本和副本均需打印或用不褪色、不变质的墨水书写，并由投标人的法定代表人(负责人)或其授权代表在规定签章处签字或盖章 </w:t>
      </w:r>
      <w:r>
        <w:rPr>
          <w:rFonts w:hint="eastAsia" w:ascii="宋体" w:hAnsi="宋体" w:eastAsia="宋体" w:cs="宋体"/>
          <w:b/>
          <w:bCs/>
          <w:color w:val="auto"/>
          <w:sz w:val="24"/>
          <w:szCs w:val="24"/>
          <w:highlight w:val="none"/>
        </w:rPr>
        <w:t xml:space="preserve">(要求加盖公章的地方加盖单位公章，不得使用专用章(如经济合同章、投标专用章等)或下属单位印章代替) </w:t>
      </w:r>
      <w:r>
        <w:rPr>
          <w:rFonts w:ascii="宋体" w:hAnsi="宋体" w:eastAsia="宋体" w:cs="宋体"/>
          <w:color w:val="auto"/>
          <w:sz w:val="24"/>
          <w:szCs w:val="24"/>
          <w:highlight w:val="none"/>
        </w:rPr>
        <w:t>。投标文件副本可采用正本的复印件。</w:t>
      </w:r>
    </w:p>
    <w:p>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18.7 投标文件的打印和书写应清楚工整，任何行间插字、涂改或增删，</w:t>
      </w:r>
      <w:r>
        <w:rPr>
          <w:rFonts w:hint="eastAsia" w:ascii="宋体" w:hAnsi="宋体" w:eastAsia="宋体" w:cs="宋体"/>
          <w:b/>
          <w:bCs/>
          <w:color w:val="auto"/>
          <w:sz w:val="24"/>
          <w:szCs w:val="24"/>
          <w:highlight w:val="none"/>
        </w:rPr>
        <w:t>必须由投标人的法定代表人(负责人)或其授权代表签字或盖个人印鉴</w:t>
      </w:r>
      <w:r>
        <w:rPr>
          <w:rFonts w:hint="eastAsia" w:ascii="宋体" w:hAnsi="宋体" w:eastAsia="宋体" w:cs="宋体"/>
          <w:color w:val="auto"/>
          <w:sz w:val="24"/>
          <w:szCs w:val="24"/>
          <w:highlight w:val="none"/>
        </w:rPr>
        <w:t>。</w:t>
      </w:r>
      <w:r>
        <w:rPr>
          <w:rFonts w:hint="eastAsia" w:ascii="宋体" w:hAnsi="宋体" w:eastAsia="宋体" w:cs="宋体"/>
          <w:b/>
          <w:bCs/>
          <w:color w:val="auto"/>
          <w:sz w:val="24"/>
          <w:szCs w:val="24"/>
          <w:highlight w:val="none"/>
        </w:rPr>
        <w:t>（实质性要求）</w:t>
      </w:r>
    </w:p>
    <w:p>
      <w:pPr>
        <w:spacing w:line="240" w:lineRule="auto"/>
        <w:ind w:firstLine="241" w:firstLineChars="100"/>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18.8 投标文件正本和副本应当采取胶装方式装订成册，不得散装或者活页装订。</w:t>
      </w:r>
    </w:p>
    <w:p>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18.9 投标文件应根据招标文件的要求制作，签署、盖章和内容应完整。</w:t>
      </w:r>
    </w:p>
    <w:p>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18.10 投标文件统一用A4幅面纸印制，逐页编码。</w:t>
      </w:r>
    </w:p>
    <w:p>
      <w:pPr>
        <w:spacing w:line="240" w:lineRule="auto"/>
        <w:ind w:firstLine="241" w:firstLineChars="100"/>
        <w:rPr>
          <w:color w:val="auto"/>
          <w:sz w:val="24"/>
          <w:szCs w:val="24"/>
          <w:highlight w:val="none"/>
        </w:rPr>
      </w:pPr>
      <w:r>
        <w:rPr>
          <w:rFonts w:hint="eastAsia" w:ascii="宋体" w:hAnsi="宋体" w:eastAsia="宋体" w:cs="宋体"/>
          <w:b/>
          <w:bCs/>
          <w:color w:val="auto"/>
          <w:sz w:val="24"/>
          <w:szCs w:val="24"/>
          <w:highlight w:val="none"/>
        </w:rPr>
        <w:t>根据《关于促进政府采购公平竞争优化营商环境的通知》(财库〔2019〕38号)不得因装订、纸张、文件排序等非实质性的格式、形式问题限制和影响供应商投标。</w:t>
      </w:r>
    </w:p>
    <w:p>
      <w:pPr>
        <w:spacing w:line="240" w:lineRule="auto"/>
        <w:outlineLvl w:val="9"/>
        <w:rPr>
          <w:rFonts w:ascii="宋体" w:hAnsi="宋体" w:eastAsia="宋体" w:cs="宋体"/>
          <w:b/>
          <w:bCs/>
          <w:color w:val="auto"/>
          <w:sz w:val="24"/>
          <w:szCs w:val="24"/>
          <w:highlight w:val="none"/>
        </w:rPr>
      </w:pPr>
      <w:bookmarkStart w:id="58" w:name="_Toc14198"/>
      <w:bookmarkStart w:id="59" w:name="_Toc31984"/>
      <w:r>
        <w:rPr>
          <w:rFonts w:hint="eastAsia" w:ascii="宋体" w:hAnsi="宋体" w:eastAsia="宋体" w:cs="宋体"/>
          <w:b/>
          <w:bCs/>
          <w:color w:val="auto"/>
          <w:sz w:val="24"/>
          <w:szCs w:val="24"/>
          <w:highlight w:val="none"/>
        </w:rPr>
        <w:t>19.投标文件的密封和标注</w:t>
      </w:r>
      <w:bookmarkEnd w:id="58"/>
      <w:bookmarkEnd w:id="59"/>
    </w:p>
    <w:p>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19.1 投标人应在投标文件正本和所有副本的封面上注明投标人名称、招标编号、项目名称。</w:t>
      </w:r>
    </w:p>
    <w:p>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19.2 投标文件包括正本、副本、电子文档和</w:t>
      </w:r>
      <w:r>
        <w:rPr>
          <w:rFonts w:hint="eastAsia" w:ascii="宋体" w:hAnsi="宋体" w:eastAsia="宋体" w:cs="宋体"/>
          <w:b/>
          <w:bCs/>
          <w:color w:val="auto"/>
          <w:sz w:val="24"/>
          <w:szCs w:val="24"/>
          <w:highlight w:val="none"/>
        </w:rPr>
        <w:t>用于开标唱标单独提交的“开标一览表”，应分别封装于不同的密封袋内</w:t>
      </w:r>
      <w:r>
        <w:rPr>
          <w:rFonts w:hint="eastAsia" w:ascii="宋体" w:hAnsi="宋体" w:eastAsia="宋体" w:cs="宋体"/>
          <w:color w:val="auto"/>
          <w:sz w:val="24"/>
          <w:szCs w:val="24"/>
          <w:highlight w:val="none"/>
        </w:rPr>
        <w:t>，密封袋上应分别标上“正本”、“副本”、“开标一览表”字样,并注明投标人名称、招标编号、项目名称。</w:t>
      </w:r>
    </w:p>
    <w:p>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19.3 所有外层密封袋的封口处应粘贴牢固，并加盖密封章(投标人公章) 。</w:t>
      </w:r>
    </w:p>
    <w:p>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19.4 </w:t>
      </w:r>
      <w:r>
        <w:rPr>
          <w:rFonts w:hint="eastAsia" w:ascii="宋体" w:hAnsi="宋体" w:eastAsia="宋体" w:cs="宋体"/>
          <w:b/>
          <w:bCs/>
          <w:color w:val="auto"/>
          <w:sz w:val="24"/>
          <w:szCs w:val="24"/>
          <w:highlight w:val="none"/>
        </w:rPr>
        <w:t>未按要求进行密封的投标文件将被拒收或者在时间允许的范围内(投标截止时间前)，要求修改完善后接收。</w:t>
      </w:r>
    </w:p>
    <w:p>
      <w:pPr>
        <w:spacing w:line="240" w:lineRule="auto"/>
        <w:outlineLvl w:val="9"/>
        <w:rPr>
          <w:color w:val="auto"/>
          <w:sz w:val="24"/>
          <w:szCs w:val="24"/>
          <w:highlight w:val="none"/>
        </w:rPr>
      </w:pPr>
      <w:bookmarkStart w:id="60" w:name="_Toc22039"/>
      <w:bookmarkStart w:id="61" w:name="_Toc26758"/>
      <w:r>
        <w:rPr>
          <w:rFonts w:hint="eastAsia" w:ascii="宋体" w:hAnsi="宋体" w:eastAsia="宋体" w:cs="宋体"/>
          <w:b/>
          <w:bCs/>
          <w:color w:val="auto"/>
          <w:sz w:val="24"/>
          <w:szCs w:val="24"/>
          <w:highlight w:val="none"/>
        </w:rPr>
        <w:t>20.投标文件的递交</w:t>
      </w:r>
      <w:bookmarkEnd w:id="60"/>
      <w:bookmarkEnd w:id="61"/>
    </w:p>
    <w:p>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20.1 投标人应在招标文件规定的投标截止时间前，将投标文件按招标文件的规定密封后送达开标地点。投标截止时间以后送达的投标文件将不予接收，招标采购单位将告知投标人不予接收的原因。</w:t>
      </w:r>
    </w:p>
    <w:p>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20.2 递交投标文件时，报名供应商名称和招标文件的招标编号应当与投标供应商名称和招标文件的招标编号一致。但是，投标文件实质内容报名供应商名称和招标文件的招标编号一致，只是封面文字错误的，可以在评标过程中当面予以澄清，以有效的澄清材料作为认定投标文件是否有效的依据。</w:t>
      </w:r>
    </w:p>
    <w:p>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20.3 本次招标不接收邮寄的投标文件。</w:t>
      </w:r>
    </w:p>
    <w:p>
      <w:pPr>
        <w:spacing w:line="240" w:lineRule="auto"/>
        <w:outlineLvl w:val="9"/>
        <w:rPr>
          <w:rFonts w:ascii="宋体" w:hAnsi="宋体" w:eastAsia="宋体" w:cs="宋体"/>
          <w:b/>
          <w:bCs/>
          <w:color w:val="auto"/>
          <w:sz w:val="24"/>
          <w:szCs w:val="24"/>
          <w:highlight w:val="none"/>
        </w:rPr>
      </w:pPr>
      <w:bookmarkStart w:id="62" w:name="_Toc24550"/>
      <w:bookmarkStart w:id="63" w:name="_Toc8626"/>
      <w:r>
        <w:rPr>
          <w:rFonts w:hint="eastAsia" w:ascii="宋体" w:hAnsi="宋体" w:eastAsia="宋体" w:cs="宋体"/>
          <w:b/>
          <w:bCs/>
          <w:color w:val="auto"/>
          <w:sz w:val="24"/>
          <w:szCs w:val="24"/>
          <w:highlight w:val="none"/>
        </w:rPr>
        <w:t>21.投标文件的修改和撤回</w:t>
      </w:r>
      <w:bookmarkEnd w:id="62"/>
      <w:bookmarkEnd w:id="63"/>
    </w:p>
    <w:p>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21.1 投标人在递交了投标文件后，可以修改或撤回其投标文件，但必须在规定的投标截止时间前，以书面形式通知招标代理机构。</w:t>
      </w:r>
    </w:p>
    <w:p>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21.2 投标人的修改书或撤回通知书，应由其法定代表人/单位负责人或授权代表签署并盖单位印章。修改书应按投标须知第19条规定进行密封和标注，并在密封袋上标注“修改”字样。</w:t>
      </w:r>
    </w:p>
    <w:p>
      <w:pPr>
        <w:spacing w:line="240" w:lineRule="auto"/>
        <w:ind w:firstLine="240" w:firstLineChars="100"/>
        <w:rPr>
          <w:rFonts w:ascii="宋体" w:hAnsi="宋体" w:eastAsia="宋体" w:cs="宋体"/>
          <w:color w:val="auto"/>
          <w:sz w:val="23"/>
          <w:szCs w:val="23"/>
          <w:highlight w:val="none"/>
        </w:rPr>
      </w:pPr>
      <w:r>
        <w:rPr>
          <w:rFonts w:hint="eastAsia" w:ascii="宋体" w:hAnsi="宋体" w:eastAsia="宋体" w:cs="宋体"/>
          <w:color w:val="auto"/>
          <w:sz w:val="24"/>
          <w:szCs w:val="24"/>
          <w:highlight w:val="none"/>
        </w:rPr>
        <w:t>21.3 在投标截止时间之后，投标人不得对其递交的投标文件</w:t>
      </w:r>
      <w:r>
        <w:rPr>
          <w:rFonts w:hint="eastAsia" w:ascii="宋体" w:hAnsi="宋体" w:eastAsia="宋体" w:cs="宋体"/>
          <w:color w:val="auto"/>
          <w:sz w:val="24"/>
          <w:szCs w:val="24"/>
          <w:highlight w:val="none"/>
          <w:lang w:eastAsia="zh-CN"/>
        </w:rPr>
        <w:t>作</w:t>
      </w:r>
      <w:r>
        <w:rPr>
          <w:rFonts w:hint="eastAsia" w:ascii="宋体" w:hAnsi="宋体" w:eastAsia="宋体" w:cs="宋体"/>
          <w:color w:val="auto"/>
          <w:sz w:val="24"/>
          <w:szCs w:val="24"/>
          <w:highlight w:val="none"/>
        </w:rPr>
        <w:t>任何修改，撤销投标的，将按照有关规定进行相应处理。</w:t>
      </w:r>
    </w:p>
    <w:p>
      <w:pPr>
        <w:spacing w:line="240" w:lineRule="auto"/>
        <w:ind w:firstLine="622" w:firstLineChars="200"/>
        <w:jc w:val="center"/>
        <w:outlineLvl w:val="1"/>
        <w:rPr>
          <w:rFonts w:ascii="宋体" w:hAnsi="宋体" w:eastAsia="宋体" w:cs="宋体"/>
          <w:b/>
          <w:bCs/>
          <w:color w:val="auto"/>
          <w:sz w:val="31"/>
          <w:szCs w:val="31"/>
          <w:highlight w:val="none"/>
        </w:rPr>
      </w:pPr>
      <w:bookmarkStart w:id="64" w:name="_Toc31519"/>
      <w:bookmarkStart w:id="65" w:name="_Toc22870"/>
      <w:r>
        <w:rPr>
          <w:rFonts w:hint="eastAsia" w:ascii="宋体" w:hAnsi="宋体" w:eastAsia="宋体" w:cs="宋体"/>
          <w:b/>
          <w:bCs/>
          <w:color w:val="auto"/>
          <w:sz w:val="31"/>
          <w:szCs w:val="31"/>
          <w:highlight w:val="none"/>
        </w:rPr>
        <w:t>五、开标和中标</w:t>
      </w:r>
      <w:bookmarkEnd w:id="64"/>
      <w:bookmarkEnd w:id="65"/>
    </w:p>
    <w:p>
      <w:pPr>
        <w:spacing w:line="240" w:lineRule="auto"/>
        <w:outlineLvl w:val="9"/>
        <w:rPr>
          <w:rFonts w:ascii="宋体" w:hAnsi="宋体" w:eastAsia="宋体" w:cs="宋体"/>
          <w:b/>
          <w:bCs/>
          <w:color w:val="auto"/>
          <w:sz w:val="24"/>
          <w:szCs w:val="24"/>
          <w:highlight w:val="none"/>
        </w:rPr>
      </w:pPr>
      <w:bookmarkStart w:id="66" w:name="_Toc29236"/>
      <w:bookmarkStart w:id="67" w:name="_Toc4256"/>
      <w:r>
        <w:rPr>
          <w:rFonts w:hint="eastAsia" w:ascii="宋体" w:hAnsi="宋体" w:eastAsia="宋体" w:cs="宋体"/>
          <w:b/>
          <w:bCs/>
          <w:color w:val="auto"/>
          <w:sz w:val="24"/>
          <w:szCs w:val="24"/>
          <w:highlight w:val="none"/>
        </w:rPr>
        <w:t>22.开标</w:t>
      </w:r>
      <w:bookmarkEnd w:id="66"/>
      <w:bookmarkEnd w:id="67"/>
    </w:p>
    <w:p>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22.1 开标在招标文件规定的时间和地点公开进行，招标人、投标人须派代表参加并签到以证明其出席（没有派代表参加开标活动视为认同开标结果）。开标由招标代理机构主持，邀请招标人、投标人代表参加。评标委员会成员不参加开标活动。</w:t>
      </w:r>
    </w:p>
    <w:p>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22.2 开标时，可根据具体情况邀请有关监督管理部门对开标活动进行现场监督。</w:t>
      </w:r>
    </w:p>
    <w:p>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22.3 开标时，由投标人或者其推选的代表先检查其自己递交的投标文件的密封情况，经确认无误后，由招标工作人员将投标人单独递交的“开标一览表”当众拆封，并由唱标人员按照招标文件规定的内容进行宣读。</w:t>
      </w:r>
    </w:p>
    <w:p>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或者其推选的代表确认投标文件情况，仅限于确认其自己递交的投标文件的密封情况，不代表对其他投标人的投标文件的密封情况确认。投标人或者其推选的代表对其他投标人的投标文件密封情况有异议的，可以当场反映开标主持人或者现场监督人员，要求开标现场记录人员予以记录，并在评标时予以认定处理，但不得干扰、阻挠开标工作的正常进行。</w:t>
      </w:r>
    </w:p>
    <w:p>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22.4 开标时，“开标一览表”中的大写金额与小写金额不一致的，以大写金额为准；总价金额与按单价计算的汇总金额不一致的，以单价计算的汇总金额为准；单价金额有明显小数点错误的，以总价为准，并修改单价。</w:t>
      </w:r>
    </w:p>
    <w:p>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22.5 投标文件中相关内容与“开标一览表”不一致的，以“开标一览表”为准。对不同文字文本投标文件的解释发生异议的，以中文文本为准。</w:t>
      </w:r>
    </w:p>
    <w:p>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22.6 所有投标唱标完毕，如投标人代表对宣读的“开标一览表”上的内容有异议的，应在获得开标会主持人同意后当场提出。如确实属于唱标人员宣读错了的，经现场监督人员核实后，当场予以更正。</w:t>
      </w:r>
    </w:p>
    <w:p>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22.7 投标人不足3家的，不得开标。</w:t>
      </w:r>
    </w:p>
    <w:p>
      <w:pPr>
        <w:spacing w:line="240" w:lineRule="auto"/>
        <w:outlineLvl w:val="9"/>
        <w:rPr>
          <w:rFonts w:ascii="宋体" w:hAnsi="宋体" w:eastAsia="宋体" w:cs="宋体"/>
          <w:b/>
          <w:bCs/>
          <w:color w:val="auto"/>
          <w:sz w:val="24"/>
          <w:szCs w:val="24"/>
          <w:highlight w:val="none"/>
        </w:rPr>
      </w:pPr>
      <w:bookmarkStart w:id="68" w:name="_Toc1890"/>
      <w:bookmarkStart w:id="69" w:name="_Toc29751"/>
      <w:r>
        <w:rPr>
          <w:rFonts w:hint="eastAsia" w:ascii="宋体" w:hAnsi="宋体" w:eastAsia="宋体" w:cs="宋体"/>
          <w:b/>
          <w:bCs/>
          <w:color w:val="auto"/>
          <w:sz w:val="24"/>
          <w:szCs w:val="24"/>
          <w:highlight w:val="none"/>
        </w:rPr>
        <w:t>23.开标程序</w:t>
      </w:r>
      <w:bookmarkEnd w:id="68"/>
      <w:bookmarkEnd w:id="69"/>
    </w:p>
    <w:p>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23.1 开标会主持人按照招标文件规定的开标时间宣布开标，按照规定要求主持开标会。开标将按以下程序进行：</w:t>
      </w:r>
    </w:p>
    <w:p>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 宣布开标会开始。当众宣布参加开标会主持人、唱标人、会议记录人以及根据情况邀请的现场监督人等工作人员，根据“投标人签到表”宣布参加投标的投标人名单。</w:t>
      </w:r>
    </w:p>
    <w:p>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 根据投标人或者其推选的代表对投标文件密封的检查结果，当众宣布</w:t>
      </w:r>
      <w:r>
        <w:rPr>
          <w:rFonts w:ascii="宋体" w:hAnsi="宋体" w:eastAsia="宋体" w:cs="宋体"/>
          <w:color w:val="auto"/>
          <w:sz w:val="24"/>
          <w:szCs w:val="24"/>
          <w:highlight w:val="none"/>
        </w:rPr>
        <w:t>投标文件的密封情况。</w:t>
      </w:r>
    </w:p>
    <w:p>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 开标唱标。主持人宣布开标后，由现场工作人员按任意顺序对投标人的“开标一览表”当众进行拆封，由唱标人员宣读投标人名称、投标价格(价格折扣) 。同时，做好开标记录。唱标人员在唱标过程中，如遇有字迹不清楚或有明显错误的，应即刻报告主持人，经现场核实后，主持人立即请投标人代表现场进行澄清或确认。唱标完毕后投标人或者其推选的代表需现场对开标记录进行签字确认，投标人或者其推选的代表对唱标内容有异议的，可以当场提出，并要求 会议记录人在开标记录中予以记录，或者另行提供书面异议资料，不签字又不提出异议的，视同认可唱标内容和结果，且不得干扰、阻挠开(唱)标、评标工作。</w:t>
      </w:r>
    </w:p>
    <w:p>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(4) 宣布开标会结束。主持人宣布开标会结束。所有投标人代表应立即退场(招标文件要求有演示、介绍等的除外)。同时所有投标人应保持通讯设备的畅通，以方便在评标过程中评标委员会要求投标人对投标文件的必要澄清、说明和纠正。评标结果投标人在中国招标投标公共服务平台（http://www.cebpubservice.com/）上查询。</w:t>
      </w:r>
    </w:p>
    <w:p>
      <w:pPr>
        <w:spacing w:line="240" w:lineRule="auto"/>
        <w:ind w:firstLine="241" w:firstLineChars="100"/>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(5) 投标人未参加开标的，视同认可开标结果。</w:t>
      </w:r>
    </w:p>
    <w:p>
      <w:pPr>
        <w:spacing w:line="240" w:lineRule="auto"/>
        <w:outlineLvl w:val="9"/>
        <w:rPr>
          <w:rFonts w:ascii="宋体" w:hAnsi="宋体" w:eastAsia="宋体" w:cs="宋体"/>
          <w:b/>
          <w:bCs/>
          <w:color w:val="auto"/>
          <w:sz w:val="24"/>
          <w:szCs w:val="24"/>
          <w:highlight w:val="none"/>
        </w:rPr>
      </w:pPr>
      <w:bookmarkStart w:id="70" w:name="_Toc9321"/>
      <w:bookmarkStart w:id="71" w:name="_Toc30446"/>
      <w:r>
        <w:rPr>
          <w:rFonts w:hint="eastAsia" w:ascii="宋体" w:hAnsi="宋体" w:eastAsia="宋体" w:cs="宋体"/>
          <w:b/>
          <w:bCs/>
          <w:color w:val="auto"/>
          <w:sz w:val="24"/>
          <w:szCs w:val="24"/>
          <w:highlight w:val="none"/>
        </w:rPr>
        <w:t>24.开评标过程存档</w:t>
      </w:r>
      <w:bookmarkEnd w:id="70"/>
      <w:bookmarkEnd w:id="71"/>
    </w:p>
    <w:p>
      <w:pPr>
        <w:spacing w:before="75" w:line="240" w:lineRule="auto"/>
        <w:ind w:left="24" w:right="80" w:firstLine="480"/>
        <w:rPr>
          <w:rFonts w:ascii="宋体" w:hAnsi="宋体" w:eastAsia="宋体" w:cs="宋体"/>
          <w:color w:val="auto"/>
          <w:sz w:val="24"/>
          <w:szCs w:val="24"/>
          <w:highlight w:val="none"/>
        </w:rPr>
      </w:pPr>
      <w:r>
        <w:rPr>
          <w:rFonts w:ascii="宋体" w:hAnsi="宋体" w:eastAsia="宋体" w:cs="宋体"/>
          <w:color w:val="auto"/>
          <w:sz w:val="24"/>
          <w:szCs w:val="24"/>
          <w:highlight w:val="none"/>
        </w:rPr>
        <w:t>开标和评标过程进行全过程电子监控，并将电子监控资料存储介质留存归档。</w:t>
      </w:r>
    </w:p>
    <w:p>
      <w:pPr>
        <w:spacing w:line="240" w:lineRule="auto"/>
        <w:outlineLvl w:val="9"/>
        <w:rPr>
          <w:rFonts w:ascii="宋体" w:hAnsi="宋体" w:eastAsia="宋体" w:cs="宋体"/>
          <w:b/>
          <w:bCs/>
          <w:color w:val="auto"/>
          <w:sz w:val="24"/>
          <w:szCs w:val="24"/>
          <w:highlight w:val="none"/>
        </w:rPr>
      </w:pPr>
      <w:bookmarkStart w:id="72" w:name="_Toc28605"/>
      <w:bookmarkStart w:id="73" w:name="_Toc20820"/>
      <w:r>
        <w:rPr>
          <w:rFonts w:hint="eastAsia" w:ascii="宋体" w:hAnsi="宋体" w:eastAsia="宋体" w:cs="宋体"/>
          <w:b/>
          <w:bCs/>
          <w:color w:val="auto"/>
          <w:sz w:val="24"/>
          <w:szCs w:val="24"/>
          <w:highlight w:val="none"/>
        </w:rPr>
        <w:t>25.资格审查</w:t>
      </w:r>
      <w:bookmarkEnd w:id="72"/>
      <w:bookmarkEnd w:id="73"/>
    </w:p>
    <w:p>
      <w:pPr>
        <w:spacing w:line="24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招标人或者招标代理机构依据法律法规和本招标文件的规定，对投标文件是否按照规定要求提供资格性证明材料、是否属于禁止参加投标的供应商等进行审查，以确定投标供应商是否具备投标资格。</w:t>
      </w:r>
    </w:p>
    <w:p>
      <w:pPr>
        <w:spacing w:line="240" w:lineRule="auto"/>
        <w:outlineLvl w:val="9"/>
        <w:rPr>
          <w:rFonts w:ascii="宋体" w:hAnsi="宋体" w:eastAsia="宋体" w:cs="宋体"/>
          <w:b/>
          <w:bCs/>
          <w:color w:val="auto"/>
          <w:sz w:val="24"/>
          <w:szCs w:val="24"/>
          <w:highlight w:val="none"/>
        </w:rPr>
      </w:pPr>
      <w:bookmarkStart w:id="74" w:name="_Toc9764"/>
      <w:bookmarkStart w:id="75" w:name="_Toc12670"/>
      <w:r>
        <w:rPr>
          <w:rFonts w:hint="eastAsia" w:ascii="宋体" w:hAnsi="宋体" w:eastAsia="宋体" w:cs="宋体"/>
          <w:b/>
          <w:bCs/>
          <w:color w:val="auto"/>
          <w:sz w:val="24"/>
          <w:szCs w:val="24"/>
          <w:highlight w:val="none"/>
        </w:rPr>
        <w:t>26.评标情况公告</w:t>
      </w:r>
      <w:bookmarkEnd w:id="74"/>
      <w:bookmarkEnd w:id="75"/>
    </w:p>
    <w:p>
      <w:pPr>
        <w:spacing w:line="240" w:lineRule="auto"/>
        <w:ind w:firstLine="480" w:firstLineChars="200"/>
        <w:outlineLvl w:val="9"/>
        <w:rPr>
          <w:rFonts w:ascii="宋体" w:hAnsi="宋体" w:eastAsia="宋体" w:cs="宋体"/>
          <w:color w:val="auto"/>
          <w:sz w:val="24"/>
          <w:szCs w:val="24"/>
          <w:highlight w:val="none"/>
        </w:rPr>
      </w:pPr>
      <w:bookmarkStart w:id="76" w:name="_Toc31460"/>
      <w:bookmarkStart w:id="77" w:name="_Toc15851"/>
      <w:r>
        <w:rPr>
          <w:rFonts w:hint="eastAsia" w:ascii="宋体" w:hAnsi="宋体" w:eastAsia="宋体" w:cs="宋体"/>
          <w:color w:val="auto"/>
          <w:sz w:val="24"/>
          <w:szCs w:val="24"/>
          <w:highlight w:val="none"/>
        </w:rPr>
        <w:t>评标结果将在中国招标投标公共服务平台（http://www.cebpubservice.com/）上采购结果公告栏中予以公告。</w:t>
      </w:r>
      <w:bookmarkEnd w:id="76"/>
      <w:bookmarkEnd w:id="77"/>
    </w:p>
    <w:p>
      <w:pPr>
        <w:spacing w:line="240" w:lineRule="auto"/>
        <w:outlineLvl w:val="9"/>
        <w:rPr>
          <w:rFonts w:ascii="宋体" w:hAnsi="宋体" w:eastAsia="宋体" w:cs="宋体"/>
          <w:b/>
          <w:bCs/>
          <w:color w:val="auto"/>
          <w:sz w:val="24"/>
          <w:szCs w:val="24"/>
          <w:highlight w:val="none"/>
        </w:rPr>
      </w:pPr>
      <w:bookmarkStart w:id="78" w:name="_Toc11479"/>
      <w:bookmarkStart w:id="79" w:name="_Toc17782"/>
      <w:r>
        <w:rPr>
          <w:rFonts w:hint="eastAsia" w:ascii="宋体" w:hAnsi="宋体" w:eastAsia="宋体" w:cs="宋体"/>
          <w:b/>
          <w:bCs/>
          <w:color w:val="auto"/>
          <w:sz w:val="24"/>
          <w:szCs w:val="24"/>
          <w:highlight w:val="none"/>
        </w:rPr>
        <w:t>27.中标通知书</w:t>
      </w:r>
      <w:bookmarkEnd w:id="78"/>
      <w:bookmarkEnd w:id="79"/>
    </w:p>
    <w:p>
      <w:pPr>
        <w:spacing w:line="240" w:lineRule="auto"/>
        <w:ind w:firstLine="480" w:firstLineChars="200"/>
        <w:outlineLvl w:val="9"/>
        <w:rPr>
          <w:rFonts w:ascii="宋体" w:hAnsi="宋体" w:eastAsia="宋体" w:cs="宋体"/>
          <w:color w:val="auto"/>
          <w:sz w:val="24"/>
          <w:szCs w:val="24"/>
          <w:highlight w:val="none"/>
        </w:rPr>
      </w:pPr>
      <w:bookmarkStart w:id="80" w:name="_Toc4779"/>
      <w:bookmarkStart w:id="81" w:name="_Toc14648"/>
      <w:r>
        <w:rPr>
          <w:rFonts w:hint="eastAsia" w:ascii="宋体" w:hAnsi="宋体" w:eastAsia="宋体" w:cs="宋体"/>
          <w:color w:val="auto"/>
          <w:sz w:val="24"/>
          <w:szCs w:val="24"/>
          <w:highlight w:val="none"/>
        </w:rPr>
        <w:t>27.1 中标通知书为签订采购合同的依据之一，是合同的有效组成部分。</w:t>
      </w:r>
      <w:bookmarkEnd w:id="80"/>
      <w:bookmarkEnd w:id="81"/>
    </w:p>
    <w:p>
      <w:pPr>
        <w:spacing w:line="240" w:lineRule="auto"/>
        <w:ind w:left="22" w:right="13" w:firstLine="483"/>
        <w:rPr>
          <w:rFonts w:ascii="宋体" w:hAnsi="宋体" w:eastAsia="宋体" w:cs="宋体"/>
          <w:color w:val="auto"/>
          <w:sz w:val="24"/>
          <w:szCs w:val="24"/>
          <w:highlight w:val="none"/>
        </w:rPr>
      </w:pPr>
      <w:r>
        <w:rPr>
          <w:rFonts w:ascii="宋体" w:hAnsi="宋体" w:eastAsia="宋体" w:cs="宋体"/>
          <w:color w:val="auto"/>
          <w:sz w:val="24"/>
          <w:szCs w:val="24"/>
          <w:highlight w:val="none"/>
        </w:rPr>
        <w:t>2</w:t>
      </w:r>
      <w:r>
        <w:rPr>
          <w:rFonts w:hint="eastAsia" w:ascii="宋体" w:hAnsi="宋体" w:eastAsia="宋体" w:cs="宋体"/>
          <w:color w:val="auto"/>
          <w:sz w:val="24"/>
          <w:szCs w:val="24"/>
          <w:highlight w:val="none"/>
        </w:rPr>
        <w:t>7</w:t>
      </w:r>
      <w:r>
        <w:rPr>
          <w:rFonts w:ascii="宋体" w:hAnsi="宋体" w:eastAsia="宋体" w:cs="宋体"/>
          <w:color w:val="auto"/>
          <w:sz w:val="24"/>
          <w:szCs w:val="24"/>
          <w:highlight w:val="none"/>
        </w:rPr>
        <w:t>.</w:t>
      </w:r>
      <w:r>
        <w:rPr>
          <w:rFonts w:hint="eastAsia" w:ascii="宋体" w:hAnsi="宋体" w:eastAsia="宋体" w:cs="宋体"/>
          <w:color w:val="auto"/>
          <w:sz w:val="24"/>
          <w:szCs w:val="24"/>
          <w:highlight w:val="none"/>
        </w:rPr>
        <w:t>2</w:t>
      </w:r>
      <w:r>
        <w:rPr>
          <w:rFonts w:ascii="宋体" w:hAnsi="宋体" w:eastAsia="宋体" w:cs="宋体"/>
          <w:color w:val="auto"/>
          <w:sz w:val="24"/>
          <w:szCs w:val="24"/>
          <w:highlight w:val="none"/>
        </w:rPr>
        <w:t xml:space="preserve"> 中标通知书对</w:t>
      </w:r>
      <w:r>
        <w:rPr>
          <w:rFonts w:hint="eastAsia" w:ascii="宋体" w:hAnsi="宋体" w:eastAsia="宋体" w:cs="宋体"/>
          <w:color w:val="auto"/>
          <w:sz w:val="24"/>
          <w:szCs w:val="24"/>
          <w:highlight w:val="none"/>
        </w:rPr>
        <w:t>招标人</w:t>
      </w:r>
      <w:r>
        <w:rPr>
          <w:rFonts w:ascii="宋体" w:hAnsi="宋体" w:eastAsia="宋体" w:cs="宋体"/>
          <w:color w:val="auto"/>
          <w:sz w:val="24"/>
          <w:szCs w:val="24"/>
          <w:highlight w:val="none"/>
        </w:rPr>
        <w:t>和中标人均具有法律效力。中标通知书发出后，</w:t>
      </w:r>
      <w:r>
        <w:rPr>
          <w:rFonts w:hint="eastAsia" w:ascii="宋体" w:hAnsi="宋体" w:eastAsia="宋体" w:cs="宋体"/>
          <w:color w:val="auto"/>
          <w:sz w:val="24"/>
          <w:szCs w:val="24"/>
          <w:highlight w:val="none"/>
        </w:rPr>
        <w:t>招标人</w:t>
      </w:r>
      <w:r>
        <w:rPr>
          <w:rFonts w:ascii="宋体" w:hAnsi="宋体" w:eastAsia="宋体" w:cs="宋体"/>
          <w:color w:val="auto"/>
          <w:sz w:val="24"/>
          <w:szCs w:val="24"/>
          <w:highlight w:val="none"/>
        </w:rPr>
        <w:t>改变中标结果，或者中标人无正当理由放弃中标的，应当承担相应的法律责任。</w:t>
      </w:r>
    </w:p>
    <w:p>
      <w:pPr>
        <w:spacing w:before="3" w:line="240" w:lineRule="auto"/>
        <w:ind w:left="23" w:right="13" w:firstLine="482"/>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27.3</w:t>
      </w:r>
      <w:r>
        <w:rPr>
          <w:rFonts w:ascii="宋体" w:hAnsi="宋体" w:eastAsia="宋体" w:cs="宋体"/>
          <w:color w:val="auto"/>
          <w:sz w:val="24"/>
          <w:szCs w:val="24"/>
          <w:highlight w:val="none"/>
        </w:rPr>
        <w:t xml:space="preserve"> 中标人的投标文件本应作为无效投标处理或者有政府采购法律法规规章制度规定的中标无效情形的，招标采购单位在取得有权主体的认定以后，将宣布发出的中标通知书无效，并收回发出的中标通知书(中标人也应当缴回)，依法重新确定中标人或者重新开展采购活动。</w:t>
      </w:r>
    </w:p>
    <w:p>
      <w:pPr>
        <w:spacing w:before="3" w:line="240" w:lineRule="auto"/>
        <w:ind w:left="23" w:right="13" w:firstLine="482"/>
        <w:rPr>
          <w:rFonts w:ascii="宋体" w:hAnsi="宋体" w:eastAsia="宋体" w:cs="宋体"/>
          <w:color w:val="auto"/>
          <w:sz w:val="24"/>
          <w:szCs w:val="24"/>
          <w:highlight w:val="none"/>
        </w:rPr>
      </w:pPr>
      <w:r>
        <w:rPr>
          <w:rFonts w:ascii="宋体" w:hAnsi="宋体" w:eastAsia="宋体" w:cs="宋体"/>
          <w:color w:val="auto"/>
          <w:sz w:val="24"/>
          <w:szCs w:val="24"/>
          <w:highlight w:val="none"/>
        </w:rPr>
        <w:t>2</w:t>
      </w:r>
      <w:r>
        <w:rPr>
          <w:rFonts w:hint="eastAsia" w:ascii="宋体" w:hAnsi="宋体" w:eastAsia="宋体" w:cs="宋体"/>
          <w:color w:val="auto"/>
          <w:sz w:val="24"/>
          <w:szCs w:val="24"/>
          <w:highlight w:val="none"/>
        </w:rPr>
        <w:t>7</w:t>
      </w:r>
      <w:r>
        <w:rPr>
          <w:rFonts w:ascii="宋体" w:hAnsi="宋体" w:eastAsia="宋体" w:cs="宋体"/>
          <w:color w:val="auto"/>
          <w:sz w:val="24"/>
          <w:szCs w:val="24"/>
          <w:highlight w:val="none"/>
        </w:rPr>
        <w:t>.</w:t>
      </w:r>
      <w:r>
        <w:rPr>
          <w:rFonts w:hint="eastAsia" w:ascii="宋体" w:hAnsi="宋体" w:eastAsia="宋体" w:cs="宋体"/>
          <w:color w:val="auto"/>
          <w:sz w:val="24"/>
          <w:szCs w:val="24"/>
          <w:highlight w:val="none"/>
        </w:rPr>
        <w:t>4</w:t>
      </w:r>
      <w:r>
        <w:rPr>
          <w:rFonts w:ascii="宋体" w:hAnsi="宋体" w:eastAsia="宋体" w:cs="宋体"/>
          <w:color w:val="auto"/>
          <w:sz w:val="24"/>
          <w:szCs w:val="24"/>
          <w:highlight w:val="none"/>
        </w:rPr>
        <w:t xml:space="preserve"> 中标公告发出后，中标人自行领取中标通知书的，可凭有效身份证明证件到</w:t>
      </w:r>
      <w:r>
        <w:rPr>
          <w:rFonts w:hint="eastAsia" w:ascii="宋体" w:hAnsi="宋体" w:eastAsia="宋体" w:cs="宋体"/>
          <w:color w:val="auto"/>
          <w:sz w:val="24"/>
          <w:szCs w:val="24"/>
          <w:highlight w:val="none"/>
        </w:rPr>
        <w:t>招标代理机构</w:t>
      </w:r>
      <w:r>
        <w:rPr>
          <w:rFonts w:ascii="宋体" w:hAnsi="宋体" w:eastAsia="宋体" w:cs="宋体"/>
          <w:color w:val="auto"/>
          <w:sz w:val="24"/>
          <w:szCs w:val="24"/>
          <w:highlight w:val="none"/>
        </w:rPr>
        <w:t>领取中标通知书</w:t>
      </w:r>
      <w:r>
        <w:rPr>
          <w:rFonts w:hint="eastAsia" w:ascii="宋体" w:hAnsi="宋体" w:eastAsia="宋体" w:cs="宋体"/>
          <w:color w:val="auto"/>
          <w:sz w:val="24"/>
          <w:szCs w:val="24"/>
          <w:highlight w:val="none"/>
        </w:rPr>
        <w:t>或联系招标代理机构工作人员邮寄中标通知书</w:t>
      </w:r>
      <w:r>
        <w:rPr>
          <w:rFonts w:ascii="宋体" w:hAnsi="宋体" w:eastAsia="宋体" w:cs="宋体"/>
          <w:color w:val="auto"/>
          <w:sz w:val="24"/>
          <w:szCs w:val="24"/>
          <w:highlight w:val="none"/>
        </w:rPr>
        <w:t>。(详见投标人须知附表) 。</w:t>
      </w:r>
    </w:p>
    <w:p>
      <w:pPr>
        <w:spacing w:line="240" w:lineRule="auto"/>
        <w:outlineLvl w:val="9"/>
        <w:rPr>
          <w:rFonts w:ascii="宋体" w:hAnsi="宋体" w:eastAsia="宋体" w:cs="宋体"/>
          <w:b/>
          <w:bCs/>
          <w:color w:val="auto"/>
          <w:sz w:val="24"/>
          <w:szCs w:val="24"/>
          <w:highlight w:val="none"/>
        </w:rPr>
      </w:pPr>
      <w:bookmarkStart w:id="82" w:name="_Toc6436"/>
      <w:bookmarkStart w:id="83" w:name="_Toc25160"/>
      <w:r>
        <w:rPr>
          <w:rFonts w:hint="eastAsia" w:ascii="宋体" w:hAnsi="宋体" w:eastAsia="宋体" w:cs="宋体"/>
          <w:b/>
          <w:bCs/>
          <w:color w:val="auto"/>
          <w:sz w:val="24"/>
          <w:szCs w:val="24"/>
          <w:highlight w:val="none"/>
        </w:rPr>
        <w:t>28.行贿犯罪档案查询</w:t>
      </w:r>
      <w:bookmarkEnd w:id="82"/>
      <w:bookmarkEnd w:id="83"/>
    </w:p>
    <w:p>
      <w:pPr>
        <w:spacing w:before="3" w:line="240" w:lineRule="auto"/>
        <w:ind w:left="23" w:right="13" w:firstLine="482"/>
        <w:rPr>
          <w:rFonts w:ascii="宋体" w:hAnsi="宋体" w:eastAsia="宋体" w:cs="宋体"/>
          <w:color w:val="auto"/>
          <w:sz w:val="23"/>
          <w:szCs w:val="23"/>
          <w:highlight w:val="none"/>
        </w:rPr>
      </w:pPr>
      <w:r>
        <w:rPr>
          <w:rFonts w:hint="eastAsia" w:ascii="宋体" w:hAnsi="宋体" w:eastAsia="宋体" w:cs="宋体"/>
          <w:color w:val="auto"/>
          <w:sz w:val="24"/>
          <w:szCs w:val="24"/>
          <w:highlight w:val="none"/>
        </w:rPr>
        <w:t>在行贿犯罪信息查询期限内，</w:t>
      </w:r>
      <w:r>
        <w:rPr>
          <w:rFonts w:ascii="宋体" w:hAnsi="宋体" w:eastAsia="宋体" w:cs="宋体"/>
          <w:color w:val="auto"/>
          <w:sz w:val="24"/>
          <w:szCs w:val="24"/>
          <w:highlight w:val="none"/>
        </w:rPr>
        <w:t>供应商单位及其现任法定代表人、主要负责人存在行贿犯罪记录的，中标后未签订采购合同的，将认定中标无效；中标后签订采购合同未履行的，将认定中标无效，同时撤销采购合同；中标后签订采购合同且已经履行的，将认定采购活动违法，由相关当事人承担赔偿责任。</w:t>
      </w:r>
    </w:p>
    <w:p>
      <w:pPr>
        <w:spacing w:line="240" w:lineRule="auto"/>
        <w:ind w:firstLine="622" w:firstLineChars="200"/>
        <w:jc w:val="center"/>
        <w:outlineLvl w:val="1"/>
        <w:rPr>
          <w:rFonts w:ascii="宋体" w:hAnsi="宋体" w:eastAsia="宋体" w:cs="宋体"/>
          <w:b/>
          <w:bCs/>
          <w:color w:val="auto"/>
          <w:sz w:val="31"/>
          <w:szCs w:val="31"/>
          <w:highlight w:val="none"/>
        </w:rPr>
      </w:pPr>
      <w:bookmarkStart w:id="84" w:name="_Toc12817"/>
      <w:bookmarkStart w:id="85" w:name="_Toc4574"/>
      <w:r>
        <w:rPr>
          <w:rFonts w:hint="eastAsia" w:ascii="宋体" w:hAnsi="宋体" w:eastAsia="宋体" w:cs="宋体"/>
          <w:b/>
          <w:bCs/>
          <w:color w:val="auto"/>
          <w:sz w:val="31"/>
          <w:szCs w:val="31"/>
          <w:highlight w:val="none"/>
        </w:rPr>
        <w:t>六、签订及履行合同和验收</w:t>
      </w:r>
      <w:bookmarkEnd w:id="84"/>
      <w:bookmarkEnd w:id="85"/>
    </w:p>
    <w:p>
      <w:pPr>
        <w:spacing w:line="240" w:lineRule="auto"/>
        <w:outlineLvl w:val="9"/>
        <w:rPr>
          <w:rFonts w:ascii="宋体" w:hAnsi="宋体" w:eastAsia="宋体" w:cs="宋体"/>
          <w:b/>
          <w:bCs/>
          <w:color w:val="auto"/>
          <w:sz w:val="24"/>
          <w:szCs w:val="24"/>
          <w:highlight w:val="none"/>
        </w:rPr>
      </w:pPr>
      <w:bookmarkStart w:id="86" w:name="_Toc20317"/>
      <w:bookmarkStart w:id="87" w:name="_Toc3408"/>
      <w:r>
        <w:rPr>
          <w:rFonts w:hint="eastAsia" w:ascii="宋体" w:hAnsi="宋体" w:eastAsia="宋体" w:cs="宋体"/>
          <w:b/>
          <w:bCs/>
          <w:color w:val="auto"/>
          <w:sz w:val="24"/>
          <w:szCs w:val="24"/>
          <w:highlight w:val="none"/>
        </w:rPr>
        <w:t>29.签订合同</w:t>
      </w:r>
      <w:bookmarkEnd w:id="86"/>
      <w:bookmarkEnd w:id="87"/>
    </w:p>
    <w:p>
      <w:pPr>
        <w:spacing w:line="240" w:lineRule="auto"/>
        <w:ind w:firstLine="482"/>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29</w:t>
      </w:r>
      <w:r>
        <w:rPr>
          <w:rFonts w:ascii="宋体" w:hAnsi="宋体" w:eastAsia="宋体" w:cs="宋体"/>
          <w:color w:val="auto"/>
          <w:sz w:val="24"/>
          <w:szCs w:val="24"/>
          <w:highlight w:val="none"/>
        </w:rPr>
        <w:t>.1 中标人应在《中标通知书》发出之日起三十日内与</w:t>
      </w:r>
      <w:r>
        <w:rPr>
          <w:rFonts w:hint="eastAsia" w:ascii="宋体" w:hAnsi="宋体" w:eastAsia="宋体" w:cs="宋体"/>
          <w:color w:val="auto"/>
          <w:sz w:val="24"/>
          <w:szCs w:val="24"/>
          <w:highlight w:val="none"/>
        </w:rPr>
        <w:t>招标人</w:t>
      </w:r>
      <w:r>
        <w:rPr>
          <w:rFonts w:ascii="宋体" w:hAnsi="宋体" w:eastAsia="宋体" w:cs="宋体"/>
          <w:color w:val="auto"/>
          <w:sz w:val="24"/>
          <w:szCs w:val="24"/>
          <w:highlight w:val="none"/>
        </w:rPr>
        <w:t>签订采购合同。由于中标人的原因逾期未与</w:t>
      </w:r>
      <w:r>
        <w:rPr>
          <w:rFonts w:hint="eastAsia" w:ascii="宋体" w:hAnsi="宋体" w:eastAsia="宋体" w:cs="宋体"/>
          <w:color w:val="auto"/>
          <w:sz w:val="24"/>
          <w:szCs w:val="24"/>
          <w:highlight w:val="none"/>
        </w:rPr>
        <w:t>招标人</w:t>
      </w:r>
      <w:r>
        <w:rPr>
          <w:rFonts w:ascii="宋体" w:hAnsi="宋体" w:eastAsia="宋体" w:cs="宋体"/>
          <w:color w:val="auto"/>
          <w:sz w:val="24"/>
          <w:szCs w:val="24"/>
          <w:highlight w:val="none"/>
        </w:rPr>
        <w:t>签订采购合同的，将视为放弃中标，取消其中标资格并将按相关规定进行处理。</w:t>
      </w:r>
    </w:p>
    <w:p>
      <w:pPr>
        <w:spacing w:line="240" w:lineRule="auto"/>
        <w:ind w:firstLine="482"/>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29</w:t>
      </w:r>
      <w:r>
        <w:rPr>
          <w:rFonts w:ascii="宋体" w:hAnsi="宋体" w:eastAsia="宋体" w:cs="宋体"/>
          <w:color w:val="auto"/>
          <w:sz w:val="24"/>
          <w:szCs w:val="24"/>
          <w:highlight w:val="none"/>
        </w:rPr>
        <w:t xml:space="preserve">.2 </w:t>
      </w:r>
      <w:r>
        <w:rPr>
          <w:rFonts w:hint="eastAsia" w:ascii="宋体" w:hAnsi="宋体" w:eastAsia="宋体" w:cs="宋体"/>
          <w:color w:val="auto"/>
          <w:sz w:val="24"/>
          <w:szCs w:val="24"/>
          <w:highlight w:val="none"/>
        </w:rPr>
        <w:t>招标人</w:t>
      </w:r>
      <w:r>
        <w:rPr>
          <w:rFonts w:ascii="宋体" w:hAnsi="宋体" w:eastAsia="宋体" w:cs="宋体"/>
          <w:color w:val="auto"/>
          <w:sz w:val="24"/>
          <w:szCs w:val="24"/>
          <w:highlight w:val="none"/>
        </w:rPr>
        <w:t>不得向中标人提出任何不合理的要求，作为签订合同的条件，不得与中标人私下订立背离合同实质性内容的任何协议，所签订的合同主要条款 应当与招标文件和中标人投标文件确定的内容一致。</w:t>
      </w:r>
    </w:p>
    <w:p>
      <w:pPr>
        <w:spacing w:before="3" w:line="240" w:lineRule="auto"/>
        <w:ind w:left="23" w:right="13" w:firstLine="482"/>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29</w:t>
      </w:r>
      <w:r>
        <w:rPr>
          <w:rFonts w:ascii="宋体" w:hAnsi="宋体" w:eastAsia="宋体" w:cs="宋体"/>
          <w:color w:val="auto"/>
          <w:sz w:val="24"/>
          <w:szCs w:val="24"/>
          <w:highlight w:val="none"/>
        </w:rPr>
        <w:t>.3 中标人因不可抗力原因不能履行采购合同或放弃中标的，</w:t>
      </w:r>
      <w:r>
        <w:rPr>
          <w:rFonts w:hint="eastAsia" w:ascii="宋体" w:hAnsi="宋体" w:eastAsia="宋体" w:cs="宋体"/>
          <w:color w:val="auto"/>
          <w:sz w:val="24"/>
          <w:szCs w:val="24"/>
          <w:highlight w:val="none"/>
        </w:rPr>
        <w:t>招标人</w:t>
      </w:r>
      <w:r>
        <w:rPr>
          <w:rFonts w:ascii="宋体" w:hAnsi="宋体" w:eastAsia="宋体" w:cs="宋体"/>
          <w:color w:val="auto"/>
          <w:sz w:val="24"/>
          <w:szCs w:val="24"/>
          <w:highlight w:val="none"/>
        </w:rPr>
        <w:t>可以与排在中标人之后第一位的中标候选人签订采购合同，以此类推。</w:t>
      </w:r>
    </w:p>
    <w:p>
      <w:pPr>
        <w:spacing w:line="240" w:lineRule="auto"/>
        <w:outlineLvl w:val="9"/>
        <w:rPr>
          <w:rFonts w:ascii="宋体" w:hAnsi="宋体" w:eastAsia="宋体" w:cs="宋体"/>
          <w:b/>
          <w:bCs/>
          <w:color w:val="auto"/>
          <w:sz w:val="24"/>
          <w:szCs w:val="24"/>
          <w:highlight w:val="none"/>
        </w:rPr>
      </w:pPr>
      <w:bookmarkStart w:id="88" w:name="_Toc24277"/>
      <w:bookmarkStart w:id="89" w:name="_Toc30385"/>
      <w:r>
        <w:rPr>
          <w:rFonts w:hint="eastAsia" w:ascii="宋体" w:hAnsi="宋体" w:eastAsia="宋体" w:cs="宋体"/>
          <w:b/>
          <w:bCs/>
          <w:color w:val="auto"/>
          <w:sz w:val="24"/>
          <w:szCs w:val="24"/>
          <w:highlight w:val="none"/>
        </w:rPr>
        <w:t>30. 合同分包 (实质性要求)</w:t>
      </w:r>
      <w:bookmarkEnd w:id="88"/>
      <w:bookmarkEnd w:id="89"/>
    </w:p>
    <w:p>
      <w:pPr>
        <w:spacing w:before="3" w:line="240" w:lineRule="auto"/>
        <w:ind w:left="23" w:right="13" w:firstLine="482"/>
        <w:rPr>
          <w:rFonts w:ascii="宋体" w:hAnsi="宋体" w:eastAsia="宋体" w:cs="宋体"/>
          <w:b/>
          <w:bCs/>
          <w:color w:val="auto"/>
          <w:sz w:val="24"/>
          <w:szCs w:val="24"/>
          <w:highlight w:val="none"/>
        </w:rPr>
      </w:pPr>
      <w:r>
        <w:rPr>
          <w:rFonts w:ascii="宋体" w:hAnsi="宋体" w:eastAsia="宋体" w:cs="宋体"/>
          <w:b/>
          <w:bCs/>
          <w:color w:val="auto"/>
          <w:sz w:val="24"/>
          <w:szCs w:val="24"/>
          <w:highlight w:val="none"/>
        </w:rPr>
        <w:t>本项目</w:t>
      </w:r>
      <w:r>
        <w:rPr>
          <w:rFonts w:hint="eastAsia" w:ascii="宋体" w:hAnsi="宋体" w:eastAsia="宋体" w:cs="宋体"/>
          <w:b/>
          <w:bCs/>
          <w:color w:val="auto"/>
          <w:sz w:val="24"/>
          <w:szCs w:val="24"/>
          <w:highlight w:val="none"/>
          <w:lang w:eastAsia="zh-CN"/>
        </w:rPr>
        <w:t>不</w:t>
      </w:r>
      <w:r>
        <w:rPr>
          <w:rFonts w:ascii="宋体" w:hAnsi="宋体" w:eastAsia="宋体" w:cs="宋体"/>
          <w:b/>
          <w:bCs/>
          <w:color w:val="auto"/>
          <w:sz w:val="24"/>
          <w:szCs w:val="24"/>
          <w:highlight w:val="none"/>
        </w:rPr>
        <w:t>接受合同分包。</w:t>
      </w:r>
    </w:p>
    <w:p>
      <w:pPr>
        <w:pStyle w:val="2"/>
        <w:spacing w:after="0" w:line="240" w:lineRule="auto"/>
        <w:ind w:firstLine="480" w:firstLineChars="200"/>
        <w:rPr>
          <w:rFonts w:ascii="宋体" w:hAnsi="宋体" w:eastAsia="宋体" w:cs="宋体"/>
          <w:color w:val="auto"/>
          <w:sz w:val="24"/>
          <w:szCs w:val="24"/>
          <w:highlight w:val="none"/>
        </w:rPr>
      </w:pPr>
      <w:r>
        <w:rPr>
          <w:rFonts w:ascii="宋体" w:hAnsi="宋体" w:eastAsia="宋体" w:cs="宋体"/>
          <w:color w:val="auto"/>
          <w:sz w:val="24"/>
          <w:szCs w:val="24"/>
          <w:highlight w:val="none"/>
        </w:rPr>
        <w:t>30.1</w:t>
      </w:r>
      <w:r>
        <w:rPr>
          <w:rFonts w:hint="eastAsia" w:ascii="宋体" w:hAnsi="宋体" w:eastAsia="宋体" w:cs="宋体"/>
          <w:color w:val="auto"/>
          <w:sz w:val="24"/>
          <w:szCs w:val="24"/>
          <w:highlight w:val="none"/>
        </w:rPr>
        <w:t>经招标人同意，中标人可以依法采取分包方式履行合同，但必须在投标文件中事前载明</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且</w:t>
      </w:r>
      <w:r>
        <w:rPr>
          <w:rFonts w:hint="eastAsia" w:ascii="宋体" w:hAnsi="宋体" w:eastAsia="宋体" w:cs="宋体"/>
          <w:i w:val="0"/>
          <w:iCs w:val="0"/>
          <w:caps w:val="0"/>
          <w:color w:val="auto"/>
          <w:spacing w:val="0"/>
          <w:sz w:val="24"/>
          <w:szCs w:val="24"/>
          <w:highlight w:val="none"/>
          <w:shd w:val="clear" w:fill="FFFFFF"/>
        </w:rPr>
        <w:t>不得再次分包</w:t>
      </w:r>
      <w:r>
        <w:rPr>
          <w:rFonts w:hint="eastAsia" w:ascii="宋体" w:hAnsi="宋体" w:eastAsia="宋体" w:cs="宋体"/>
          <w:color w:val="auto"/>
          <w:sz w:val="24"/>
          <w:szCs w:val="24"/>
          <w:highlight w:val="none"/>
        </w:rPr>
        <w:t>。这种要求应当在合同签订之前征得</w:t>
      </w:r>
      <w:r>
        <w:rPr>
          <w:rFonts w:hint="eastAsia" w:ascii="宋体" w:hAnsi="宋体" w:eastAsia="宋体" w:cs="宋体"/>
          <w:color w:val="auto"/>
          <w:sz w:val="24"/>
          <w:szCs w:val="24"/>
          <w:highlight w:val="none"/>
          <w:lang w:val="en-US" w:eastAsia="zh-CN"/>
        </w:rPr>
        <w:t>招标人</w:t>
      </w:r>
      <w:r>
        <w:rPr>
          <w:rFonts w:hint="eastAsia" w:ascii="宋体" w:hAnsi="宋体" w:eastAsia="宋体" w:cs="宋体"/>
          <w:color w:val="auto"/>
          <w:sz w:val="24"/>
          <w:szCs w:val="24"/>
          <w:highlight w:val="none"/>
        </w:rPr>
        <w:t>同意，并且分包供应商履行的分包项目的品牌、规格型号及技术要求等，必须与中标的一致。</w:t>
      </w:r>
    </w:p>
    <w:p>
      <w:pPr>
        <w:pStyle w:val="2"/>
        <w:spacing w:after="0" w:line="24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分包履行合同的部分应当为采购项目的非主体、非关键性工作，不属于中标人的主要合同义务。</w:t>
      </w:r>
    </w:p>
    <w:p>
      <w:pPr>
        <w:pStyle w:val="2"/>
        <w:spacing w:after="0" w:line="240" w:lineRule="auto"/>
        <w:ind w:firstLine="480" w:firstLineChars="200"/>
        <w:rPr>
          <w:rFonts w:ascii="宋体" w:hAnsi="宋体" w:eastAsia="宋体" w:cs="宋体"/>
          <w:color w:val="auto"/>
          <w:sz w:val="24"/>
          <w:szCs w:val="24"/>
          <w:highlight w:val="none"/>
        </w:rPr>
      </w:pPr>
      <w:r>
        <w:rPr>
          <w:rFonts w:ascii="宋体" w:hAnsi="宋体" w:eastAsia="宋体" w:cs="宋体"/>
          <w:color w:val="auto"/>
          <w:sz w:val="24"/>
          <w:szCs w:val="24"/>
          <w:highlight w:val="none"/>
        </w:rPr>
        <w:t xml:space="preserve">30.2 </w:t>
      </w:r>
      <w:r>
        <w:rPr>
          <w:rFonts w:hint="eastAsia" w:ascii="宋体" w:hAnsi="宋体" w:eastAsia="宋体" w:cs="宋体"/>
          <w:color w:val="auto"/>
          <w:sz w:val="24"/>
          <w:szCs w:val="24"/>
          <w:highlight w:val="none"/>
        </w:rPr>
        <w:t>采购合同实行分包履行的，中标人就采购项目和分包项目向招标人负责，分包供应商就分包项目承担责任。</w:t>
      </w:r>
    </w:p>
    <w:p>
      <w:pPr>
        <w:pStyle w:val="2"/>
        <w:spacing w:after="0" w:line="240" w:lineRule="auto"/>
        <w:ind w:firstLine="480" w:firstLineChars="200"/>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30.</w:t>
      </w:r>
      <w:r>
        <w:rPr>
          <w:rFonts w:hint="eastAsia" w:ascii="宋体" w:hAnsi="宋体" w:eastAsia="宋体" w:cs="宋体"/>
          <w:color w:val="auto"/>
          <w:sz w:val="24"/>
          <w:szCs w:val="24"/>
          <w:highlight w:val="none"/>
          <w:lang w:val="en-US" w:eastAsia="zh-CN"/>
        </w:rPr>
        <w:t xml:space="preserve">3 </w:t>
      </w:r>
      <w:r>
        <w:rPr>
          <w:rFonts w:hint="eastAsia" w:ascii="宋体" w:hAnsi="宋体" w:eastAsia="宋体" w:cs="宋体"/>
          <w:color w:val="auto"/>
          <w:sz w:val="24"/>
          <w:szCs w:val="24"/>
          <w:highlight w:val="none"/>
        </w:rPr>
        <w:t>中小企业依据《政府采购促进中小企业发展管理办法》（财库</w:t>
      </w:r>
      <w:r>
        <w:rPr>
          <w:rFonts w:ascii="宋体" w:hAnsi="宋体" w:eastAsia="宋体" w:cs="宋体"/>
          <w:color w:val="auto"/>
          <w:sz w:val="24"/>
          <w:szCs w:val="24"/>
          <w:highlight w:val="none"/>
        </w:rPr>
        <w:t>[2020]46</w:t>
      </w:r>
      <w:r>
        <w:rPr>
          <w:rFonts w:hint="eastAsia" w:ascii="宋体" w:hAnsi="宋体" w:eastAsia="宋体" w:cs="宋体"/>
          <w:color w:val="auto"/>
          <w:sz w:val="24"/>
          <w:szCs w:val="24"/>
          <w:highlight w:val="none"/>
        </w:rPr>
        <w:t>号）规定的政策获取采购合同后，小微企业不得将合同分包给大中型企业，中型企业不得将合同分包给大型企业。</w:t>
      </w:r>
    </w:p>
    <w:p>
      <w:pPr>
        <w:spacing w:line="240" w:lineRule="auto"/>
        <w:outlineLvl w:val="9"/>
        <w:rPr>
          <w:rFonts w:ascii="宋体" w:hAnsi="宋体" w:eastAsia="宋体" w:cs="宋体"/>
          <w:b/>
          <w:bCs/>
          <w:color w:val="auto"/>
          <w:sz w:val="24"/>
          <w:szCs w:val="24"/>
          <w:highlight w:val="none"/>
        </w:rPr>
      </w:pPr>
      <w:bookmarkStart w:id="90" w:name="_Toc137"/>
      <w:bookmarkStart w:id="91" w:name="_Toc21369"/>
      <w:r>
        <w:rPr>
          <w:rFonts w:hint="eastAsia" w:ascii="宋体" w:hAnsi="宋体" w:eastAsia="宋体" w:cs="宋体"/>
          <w:b/>
          <w:bCs/>
          <w:color w:val="auto"/>
          <w:sz w:val="24"/>
          <w:szCs w:val="24"/>
          <w:highlight w:val="none"/>
        </w:rPr>
        <w:t>31.合同转包 (实质性要求)</w:t>
      </w:r>
      <w:bookmarkEnd w:id="90"/>
      <w:bookmarkEnd w:id="91"/>
    </w:p>
    <w:p>
      <w:pPr>
        <w:spacing w:before="3" w:line="240" w:lineRule="auto"/>
        <w:ind w:left="23" w:right="13" w:firstLine="482"/>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31.</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本采购项目严禁中标人将任何合同义务转包。本项目所称转包，是指中标人将合同义务转让给第三人，并退出现有采购合同当事人双方的权利义务关系，受让人(即第三人)成为采购合同的另一方当事人的行为。</w:t>
      </w:r>
    </w:p>
    <w:p>
      <w:pPr>
        <w:spacing w:before="3" w:line="240" w:lineRule="auto"/>
        <w:ind w:left="23" w:right="13" w:firstLine="482"/>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31.</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中标人转包的，视同拒绝履行采购合同义务，将依法追究法律责任。</w:t>
      </w:r>
    </w:p>
    <w:p>
      <w:pPr>
        <w:spacing w:line="240" w:lineRule="auto"/>
        <w:outlineLvl w:val="9"/>
        <w:rPr>
          <w:rFonts w:ascii="宋体" w:hAnsi="宋体" w:eastAsia="宋体" w:cs="宋体"/>
          <w:b/>
          <w:bCs/>
          <w:color w:val="auto"/>
          <w:sz w:val="24"/>
          <w:szCs w:val="24"/>
          <w:highlight w:val="none"/>
        </w:rPr>
      </w:pPr>
      <w:bookmarkStart w:id="92" w:name="_Toc14740"/>
      <w:bookmarkStart w:id="93" w:name="_Toc4999"/>
      <w:r>
        <w:rPr>
          <w:rFonts w:hint="eastAsia" w:ascii="宋体" w:hAnsi="宋体" w:eastAsia="宋体" w:cs="宋体"/>
          <w:b/>
          <w:bCs/>
          <w:color w:val="auto"/>
          <w:sz w:val="24"/>
          <w:szCs w:val="24"/>
          <w:highlight w:val="none"/>
        </w:rPr>
        <w:t>32.补充合同</w:t>
      </w:r>
      <w:bookmarkEnd w:id="92"/>
      <w:bookmarkEnd w:id="93"/>
    </w:p>
    <w:p>
      <w:pPr>
        <w:spacing w:before="3" w:line="240" w:lineRule="auto"/>
        <w:ind w:left="23" w:right="13" w:firstLine="482"/>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采购合同履行过程中，招标人需要追加与合同标的相同的货物或者服务的，在不改变合同其他条款的前提下，可以与中标人协商签订补充合同，但所有补充合同的采购金额不得超过原合同采购金额的百分之十，该补充合同应当在原采购合同履行过程中，不得在原采购合同履行结束后，且采购货物、工程和服务的名称、价格、履约方式、验收标准等必须与原采购合同一致。</w:t>
      </w:r>
    </w:p>
    <w:p>
      <w:pPr>
        <w:spacing w:line="240" w:lineRule="auto"/>
        <w:outlineLvl w:val="9"/>
        <w:rPr>
          <w:rFonts w:ascii="宋体" w:hAnsi="宋体" w:eastAsia="宋体" w:cs="宋体"/>
          <w:b/>
          <w:bCs/>
          <w:color w:val="auto"/>
          <w:sz w:val="24"/>
          <w:szCs w:val="24"/>
          <w:highlight w:val="none"/>
        </w:rPr>
      </w:pPr>
      <w:bookmarkStart w:id="94" w:name="_Toc9248"/>
      <w:bookmarkStart w:id="95" w:name="_Toc20785"/>
      <w:r>
        <w:rPr>
          <w:rFonts w:hint="eastAsia" w:ascii="宋体" w:hAnsi="宋体" w:eastAsia="宋体" w:cs="宋体"/>
          <w:b/>
          <w:bCs/>
          <w:color w:val="auto"/>
          <w:sz w:val="24"/>
          <w:szCs w:val="24"/>
          <w:highlight w:val="none"/>
        </w:rPr>
        <w:t>33.履约保证金 (实质性要求)</w:t>
      </w:r>
      <w:bookmarkEnd w:id="94"/>
      <w:bookmarkEnd w:id="95"/>
    </w:p>
    <w:p>
      <w:pPr>
        <w:spacing w:before="3" w:line="240" w:lineRule="auto"/>
        <w:ind w:left="23" w:right="13" w:firstLine="482"/>
        <w:rPr>
          <w:rFonts w:ascii="宋体" w:hAnsi="宋体" w:eastAsia="宋体" w:cs="宋体"/>
          <w:b/>
          <w:bCs/>
          <w:color w:val="auto"/>
          <w:sz w:val="24"/>
          <w:szCs w:val="24"/>
          <w:highlight w:val="none"/>
        </w:rPr>
      </w:pPr>
      <w:r>
        <w:rPr>
          <w:rFonts w:ascii="宋体" w:hAnsi="宋体" w:eastAsia="宋体" w:cs="宋体"/>
          <w:b/>
          <w:bCs/>
          <w:color w:val="auto"/>
          <w:sz w:val="24"/>
          <w:szCs w:val="24"/>
          <w:highlight w:val="none"/>
        </w:rPr>
        <w:t>本项目收取履约保证金。</w:t>
      </w:r>
      <w:r>
        <w:rPr>
          <w:rFonts w:hint="eastAsia" w:ascii="宋体" w:hAnsi="宋体" w:eastAsia="宋体" w:cs="宋体"/>
          <w:b/>
          <w:bCs/>
          <w:color w:val="auto"/>
          <w:sz w:val="24"/>
          <w:szCs w:val="24"/>
          <w:highlight w:val="none"/>
        </w:rPr>
        <w:t xml:space="preserve">按照本文件第二章 </w:t>
      </w:r>
      <w:r>
        <w:rPr>
          <w:rFonts w:hint="eastAsia" w:ascii="宋体" w:hAnsi="宋体" w:eastAsia="宋体" w:cs="宋体"/>
          <w:b/>
          <w:bCs/>
          <w:color w:val="auto"/>
          <w:sz w:val="24"/>
          <w:szCs w:val="24"/>
          <w:highlight w:val="none"/>
          <w:lang w:eastAsia="zh-CN"/>
        </w:rPr>
        <w:t>投标人</w:t>
      </w:r>
      <w:r>
        <w:rPr>
          <w:rFonts w:hint="eastAsia" w:ascii="宋体" w:hAnsi="宋体" w:eastAsia="宋体" w:cs="宋体"/>
          <w:b/>
          <w:bCs/>
          <w:color w:val="auto"/>
          <w:sz w:val="24"/>
          <w:szCs w:val="24"/>
          <w:highlight w:val="none"/>
        </w:rPr>
        <w:t>须知 一、</w:t>
      </w:r>
      <w:r>
        <w:rPr>
          <w:rFonts w:hint="eastAsia" w:ascii="宋体" w:hAnsi="宋体" w:eastAsia="宋体" w:cs="宋体"/>
          <w:b/>
          <w:bCs/>
          <w:color w:val="auto"/>
          <w:sz w:val="24"/>
          <w:szCs w:val="24"/>
          <w:highlight w:val="none"/>
          <w:lang w:eastAsia="zh-CN"/>
        </w:rPr>
        <w:t>投标人</w:t>
      </w:r>
      <w:r>
        <w:rPr>
          <w:rFonts w:hint="eastAsia" w:ascii="宋体" w:hAnsi="宋体" w:eastAsia="宋体" w:cs="宋体"/>
          <w:b/>
          <w:bCs/>
          <w:color w:val="auto"/>
          <w:sz w:val="24"/>
          <w:szCs w:val="24"/>
          <w:highlight w:val="none"/>
        </w:rPr>
        <w:t>须知附表 的规定执行。</w:t>
      </w:r>
    </w:p>
    <w:p>
      <w:pPr>
        <w:spacing w:line="240" w:lineRule="auto"/>
        <w:outlineLvl w:val="9"/>
        <w:rPr>
          <w:rFonts w:ascii="宋体" w:hAnsi="宋体" w:eastAsia="宋体" w:cs="宋体"/>
          <w:b/>
          <w:bCs/>
          <w:color w:val="auto"/>
          <w:sz w:val="24"/>
          <w:szCs w:val="24"/>
          <w:highlight w:val="none"/>
        </w:rPr>
      </w:pPr>
      <w:bookmarkStart w:id="96" w:name="_Toc12321"/>
      <w:bookmarkStart w:id="97" w:name="_Toc30156"/>
      <w:r>
        <w:rPr>
          <w:rFonts w:hint="eastAsia" w:ascii="宋体" w:hAnsi="宋体" w:eastAsia="宋体" w:cs="宋体"/>
          <w:b/>
          <w:bCs/>
          <w:color w:val="auto"/>
          <w:sz w:val="24"/>
          <w:szCs w:val="24"/>
          <w:highlight w:val="none"/>
        </w:rPr>
        <w:t>3</w:t>
      </w:r>
      <w:r>
        <w:rPr>
          <w:rFonts w:hint="eastAsia" w:ascii="宋体" w:hAnsi="宋体" w:eastAsia="宋体" w:cs="宋体"/>
          <w:b/>
          <w:bCs/>
          <w:color w:val="auto"/>
          <w:sz w:val="24"/>
          <w:szCs w:val="24"/>
          <w:highlight w:val="none"/>
          <w:lang w:val="en-US" w:eastAsia="zh-CN"/>
        </w:rPr>
        <w:t>4</w:t>
      </w:r>
      <w:r>
        <w:rPr>
          <w:rFonts w:hint="eastAsia" w:ascii="宋体" w:hAnsi="宋体" w:eastAsia="宋体" w:cs="宋体"/>
          <w:b/>
          <w:bCs/>
          <w:color w:val="auto"/>
          <w:sz w:val="24"/>
          <w:szCs w:val="24"/>
          <w:highlight w:val="none"/>
        </w:rPr>
        <w:t>.履行合同</w:t>
      </w:r>
      <w:bookmarkEnd w:id="96"/>
      <w:bookmarkEnd w:id="97"/>
    </w:p>
    <w:p>
      <w:pPr>
        <w:spacing w:before="3" w:line="240" w:lineRule="auto"/>
        <w:ind w:left="23" w:right="13" w:firstLine="482"/>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.1 中标人与招标人签订合同后，合同双方应严格执行合同条款，履行合同规定的义务，保证合同的顺利完成。</w:t>
      </w:r>
    </w:p>
    <w:p>
      <w:pPr>
        <w:spacing w:before="3" w:line="240" w:lineRule="auto"/>
        <w:ind w:left="23" w:right="13" w:firstLine="482"/>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.2 在合同履行过程中，如发生合同纠纷，合同双方应按照《中华人民共和国民法典》的有关规定进行处理。</w:t>
      </w:r>
    </w:p>
    <w:p>
      <w:pPr>
        <w:spacing w:line="240" w:lineRule="auto"/>
        <w:outlineLvl w:val="9"/>
        <w:rPr>
          <w:rFonts w:ascii="宋体" w:hAnsi="宋体" w:eastAsia="宋体" w:cs="宋体"/>
          <w:b/>
          <w:bCs/>
          <w:color w:val="auto"/>
          <w:sz w:val="24"/>
          <w:szCs w:val="24"/>
          <w:highlight w:val="none"/>
        </w:rPr>
      </w:pPr>
      <w:bookmarkStart w:id="98" w:name="_Toc4612"/>
      <w:bookmarkStart w:id="99" w:name="_Toc29799"/>
      <w:r>
        <w:rPr>
          <w:rFonts w:hint="eastAsia" w:ascii="宋体" w:hAnsi="宋体" w:eastAsia="宋体" w:cs="宋体"/>
          <w:b/>
          <w:bCs/>
          <w:color w:val="auto"/>
          <w:sz w:val="24"/>
          <w:szCs w:val="24"/>
          <w:highlight w:val="none"/>
        </w:rPr>
        <w:t>3</w:t>
      </w:r>
      <w:r>
        <w:rPr>
          <w:rFonts w:hint="eastAsia" w:ascii="宋体" w:hAnsi="宋体" w:eastAsia="宋体" w:cs="宋体"/>
          <w:b/>
          <w:bCs/>
          <w:color w:val="auto"/>
          <w:sz w:val="24"/>
          <w:szCs w:val="24"/>
          <w:highlight w:val="none"/>
          <w:lang w:val="en-US" w:eastAsia="zh-CN"/>
        </w:rPr>
        <w:t>5</w:t>
      </w:r>
      <w:r>
        <w:rPr>
          <w:rFonts w:hint="eastAsia" w:ascii="宋体" w:hAnsi="宋体" w:eastAsia="宋体" w:cs="宋体"/>
          <w:b/>
          <w:bCs/>
          <w:color w:val="auto"/>
          <w:sz w:val="24"/>
          <w:szCs w:val="24"/>
          <w:highlight w:val="none"/>
        </w:rPr>
        <w:t>.资金支付</w:t>
      </w:r>
      <w:bookmarkEnd w:id="98"/>
      <w:bookmarkEnd w:id="99"/>
    </w:p>
    <w:p>
      <w:pPr>
        <w:spacing w:before="3" w:line="240" w:lineRule="auto"/>
        <w:ind w:left="23" w:right="13" w:firstLine="482"/>
        <w:rPr>
          <w:rFonts w:ascii="宋体" w:hAnsi="宋体" w:eastAsia="宋体" w:cs="宋体"/>
          <w:color w:val="auto"/>
          <w:sz w:val="23"/>
          <w:szCs w:val="23"/>
          <w:highlight w:val="none"/>
        </w:rPr>
      </w:pPr>
      <w:r>
        <w:rPr>
          <w:rFonts w:hint="eastAsia" w:ascii="宋体" w:hAnsi="宋体" w:eastAsia="宋体" w:cs="宋体"/>
          <w:color w:val="auto"/>
          <w:sz w:val="24"/>
          <w:szCs w:val="24"/>
          <w:highlight w:val="none"/>
          <w:lang w:eastAsia="zh-CN"/>
        </w:rPr>
        <w:t>招标</w:t>
      </w:r>
      <w:r>
        <w:rPr>
          <w:rFonts w:hint="eastAsia" w:ascii="宋体" w:hAnsi="宋体" w:eastAsia="宋体" w:cs="宋体"/>
          <w:color w:val="auto"/>
          <w:sz w:val="24"/>
          <w:szCs w:val="24"/>
          <w:highlight w:val="none"/>
        </w:rPr>
        <w:t>人将按照采购合同规定，及时向</w:t>
      </w:r>
      <w:r>
        <w:rPr>
          <w:rFonts w:hint="eastAsia" w:ascii="宋体" w:hAnsi="宋体" w:eastAsia="宋体" w:cs="宋体"/>
          <w:color w:val="auto"/>
          <w:sz w:val="24"/>
          <w:szCs w:val="24"/>
          <w:highlight w:val="none"/>
          <w:lang w:eastAsia="zh-CN"/>
        </w:rPr>
        <w:t>中标人</w:t>
      </w:r>
      <w:r>
        <w:rPr>
          <w:rFonts w:hint="eastAsia" w:ascii="宋体" w:hAnsi="宋体" w:eastAsia="宋体" w:cs="宋体"/>
          <w:color w:val="auto"/>
          <w:sz w:val="24"/>
          <w:szCs w:val="24"/>
          <w:highlight w:val="none"/>
        </w:rPr>
        <w:t>支付采购资金。本项目采购资金采取授权支付，支付程序详见本文件“第</w:t>
      </w:r>
      <w:r>
        <w:rPr>
          <w:rFonts w:hint="eastAsia" w:ascii="宋体" w:hAnsi="宋体" w:eastAsia="宋体" w:cs="宋体"/>
          <w:color w:val="auto"/>
          <w:sz w:val="24"/>
          <w:szCs w:val="24"/>
          <w:highlight w:val="none"/>
          <w:lang w:eastAsia="zh-CN"/>
        </w:rPr>
        <w:t>八</w:t>
      </w:r>
      <w:r>
        <w:rPr>
          <w:rFonts w:hint="eastAsia" w:ascii="宋体" w:hAnsi="宋体" w:eastAsia="宋体" w:cs="宋体"/>
          <w:color w:val="auto"/>
          <w:sz w:val="24"/>
          <w:szCs w:val="24"/>
          <w:highlight w:val="none"/>
        </w:rPr>
        <w:t xml:space="preserve">章  </w:t>
      </w:r>
      <w:r>
        <w:rPr>
          <w:rFonts w:hint="eastAsia" w:ascii="宋体" w:hAnsi="宋体" w:eastAsia="宋体" w:cs="宋体"/>
          <w:color w:val="auto"/>
          <w:sz w:val="24"/>
          <w:szCs w:val="24"/>
          <w:highlight w:val="none"/>
          <w:lang w:eastAsia="zh-CN"/>
        </w:rPr>
        <w:t>合同主要条款</w:t>
      </w:r>
      <w:r>
        <w:rPr>
          <w:rFonts w:hint="eastAsia" w:ascii="宋体" w:hAnsi="宋体" w:eastAsia="宋体" w:cs="宋体"/>
          <w:color w:val="auto"/>
          <w:sz w:val="24"/>
          <w:szCs w:val="24"/>
          <w:highlight w:val="none"/>
        </w:rPr>
        <w:t>”。</w:t>
      </w:r>
    </w:p>
    <w:p>
      <w:pPr>
        <w:spacing w:line="240" w:lineRule="auto"/>
        <w:ind w:firstLine="622" w:firstLineChars="200"/>
        <w:jc w:val="center"/>
        <w:outlineLvl w:val="1"/>
        <w:rPr>
          <w:rFonts w:ascii="宋体" w:hAnsi="宋体" w:eastAsia="宋体" w:cs="宋体"/>
          <w:b/>
          <w:bCs/>
          <w:color w:val="auto"/>
          <w:sz w:val="31"/>
          <w:szCs w:val="31"/>
          <w:highlight w:val="none"/>
        </w:rPr>
      </w:pPr>
      <w:bookmarkStart w:id="100" w:name="_Toc18336"/>
      <w:bookmarkStart w:id="101" w:name="_Toc23630"/>
      <w:r>
        <w:rPr>
          <w:rFonts w:hint="eastAsia" w:ascii="宋体" w:hAnsi="宋体" w:eastAsia="宋体" w:cs="宋体"/>
          <w:b/>
          <w:bCs/>
          <w:color w:val="auto"/>
          <w:sz w:val="31"/>
          <w:szCs w:val="31"/>
          <w:highlight w:val="none"/>
        </w:rPr>
        <w:t>七、投标纪律要求</w:t>
      </w:r>
      <w:bookmarkEnd w:id="100"/>
      <w:bookmarkEnd w:id="101"/>
    </w:p>
    <w:p>
      <w:pPr>
        <w:spacing w:line="240" w:lineRule="auto"/>
        <w:outlineLvl w:val="9"/>
        <w:rPr>
          <w:rFonts w:ascii="宋体" w:hAnsi="宋体" w:eastAsia="宋体" w:cs="宋体"/>
          <w:b/>
          <w:bCs/>
          <w:color w:val="auto"/>
          <w:sz w:val="24"/>
          <w:szCs w:val="24"/>
          <w:highlight w:val="none"/>
        </w:rPr>
      </w:pPr>
      <w:bookmarkStart w:id="102" w:name="_Toc11058"/>
      <w:bookmarkStart w:id="103" w:name="_Toc4076"/>
      <w:r>
        <w:rPr>
          <w:rFonts w:hint="eastAsia" w:ascii="宋体" w:hAnsi="宋体" w:eastAsia="宋体" w:cs="宋体"/>
          <w:b/>
          <w:bCs/>
          <w:color w:val="auto"/>
          <w:sz w:val="24"/>
          <w:szCs w:val="24"/>
          <w:highlight w:val="none"/>
        </w:rPr>
        <w:t>3</w:t>
      </w:r>
      <w:r>
        <w:rPr>
          <w:rFonts w:hint="eastAsia" w:ascii="宋体" w:hAnsi="宋体" w:eastAsia="宋体" w:cs="宋体"/>
          <w:b/>
          <w:bCs/>
          <w:color w:val="auto"/>
          <w:sz w:val="24"/>
          <w:szCs w:val="24"/>
          <w:highlight w:val="none"/>
          <w:lang w:val="en-US" w:eastAsia="zh-CN"/>
        </w:rPr>
        <w:t>6</w:t>
      </w:r>
      <w:r>
        <w:rPr>
          <w:rFonts w:hint="eastAsia" w:ascii="宋体" w:hAnsi="宋体" w:eastAsia="宋体" w:cs="宋体"/>
          <w:b/>
          <w:bCs/>
          <w:color w:val="auto"/>
          <w:sz w:val="24"/>
          <w:szCs w:val="24"/>
          <w:highlight w:val="none"/>
        </w:rPr>
        <w:t>.投标人不得具有的情形</w:t>
      </w:r>
      <w:bookmarkEnd w:id="102"/>
      <w:bookmarkEnd w:id="103"/>
    </w:p>
    <w:p>
      <w:pPr>
        <w:spacing w:before="3" w:line="240" w:lineRule="auto"/>
        <w:ind w:left="23" w:right="13" w:firstLine="482"/>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.1 投标人参加本项目投标不得有下列情形：</w:t>
      </w:r>
    </w:p>
    <w:p>
      <w:pPr>
        <w:spacing w:before="3" w:line="240" w:lineRule="auto"/>
        <w:ind w:left="23" w:right="13" w:firstLine="482"/>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 提供虚假材料谋取中标；</w:t>
      </w:r>
    </w:p>
    <w:p>
      <w:pPr>
        <w:spacing w:before="3" w:line="240" w:lineRule="auto"/>
        <w:ind w:left="23" w:right="13" w:firstLine="482"/>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 采取不正当手段诋毁、排挤其他投标人；</w:t>
      </w:r>
    </w:p>
    <w:p>
      <w:pPr>
        <w:spacing w:before="3" w:line="240" w:lineRule="auto"/>
        <w:ind w:left="23" w:right="13" w:firstLine="482"/>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 与招标采购单位、其他投标人恶意串通；</w:t>
      </w:r>
    </w:p>
    <w:p>
      <w:pPr>
        <w:spacing w:before="3" w:line="240" w:lineRule="auto"/>
        <w:ind w:left="23" w:right="13" w:firstLine="482"/>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(4) 向招标采购单位、评标委员会成员行贿或者提供其他不正当利益；</w:t>
      </w:r>
    </w:p>
    <w:p>
      <w:pPr>
        <w:spacing w:before="3" w:line="240" w:lineRule="auto"/>
        <w:ind w:left="23" w:right="13" w:firstLine="482"/>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(5) 在招标过程中与招标采购单位进行协商谈判；</w:t>
      </w:r>
    </w:p>
    <w:p>
      <w:pPr>
        <w:spacing w:before="3" w:line="240" w:lineRule="auto"/>
        <w:ind w:left="23" w:right="13" w:firstLine="482"/>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(6) 中标或者成交后无正当理由拒不与招标人签订采购合同；</w:t>
      </w:r>
    </w:p>
    <w:p>
      <w:pPr>
        <w:spacing w:before="3" w:line="240" w:lineRule="auto"/>
        <w:ind w:left="23" w:right="13" w:firstLine="482"/>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(7) 未按照采购文件确定的事项签订采购合同；</w:t>
      </w:r>
    </w:p>
    <w:p>
      <w:pPr>
        <w:spacing w:before="3" w:line="240" w:lineRule="auto"/>
        <w:ind w:left="23" w:right="13" w:firstLine="482"/>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(8) 将采购合同转包或者违规分包；</w:t>
      </w:r>
    </w:p>
    <w:p>
      <w:pPr>
        <w:spacing w:before="3" w:line="240" w:lineRule="auto"/>
        <w:ind w:left="23" w:right="13" w:firstLine="482"/>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(9) 提供假冒伪劣产品；</w:t>
      </w:r>
    </w:p>
    <w:p>
      <w:pPr>
        <w:spacing w:before="3" w:line="240" w:lineRule="auto"/>
        <w:ind w:left="23" w:right="13" w:firstLine="482"/>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(10) 擅自变更、中止或者终止采购合同；</w:t>
      </w:r>
    </w:p>
    <w:p>
      <w:pPr>
        <w:spacing w:before="3" w:line="240" w:lineRule="auto"/>
        <w:ind w:left="23" w:right="13" w:firstLine="482"/>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(11) 拒绝有关部门的监督检查或者向监督检查部门提供虚假情况；</w:t>
      </w:r>
    </w:p>
    <w:p>
      <w:pPr>
        <w:spacing w:before="3" w:line="240" w:lineRule="auto"/>
        <w:ind w:left="23" w:right="13" w:firstLine="482"/>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(12) 法律法规规定的其他情形。</w:t>
      </w:r>
    </w:p>
    <w:p>
      <w:pPr>
        <w:spacing w:before="3" w:line="240" w:lineRule="auto"/>
        <w:ind w:left="23" w:right="13" w:firstLine="482"/>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投标人有上述情形的，按照规定追究法律责任，具备(1)-(10)条情形之一的，同时将取消中标资格或者认定中标、投标无效。</w:t>
      </w:r>
    </w:p>
    <w:p>
      <w:pPr>
        <w:spacing w:before="3" w:line="240" w:lineRule="auto"/>
        <w:ind w:left="23" w:right="13" w:firstLine="482"/>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.2 投标人有下列情形之一的，视为投标人串通投标，其投标无效：</w:t>
      </w:r>
    </w:p>
    <w:p>
      <w:pPr>
        <w:spacing w:before="3" w:line="240" w:lineRule="auto"/>
        <w:ind w:left="23" w:right="13" w:firstLine="482"/>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 不同投标人的投标文件由同一单位或者个人编制；</w:t>
      </w:r>
    </w:p>
    <w:p>
      <w:pPr>
        <w:spacing w:before="3" w:line="240" w:lineRule="auto"/>
        <w:ind w:left="23" w:right="13" w:firstLine="482"/>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 不同投标人委托同一单位或者个人办理投标事宜；</w:t>
      </w:r>
    </w:p>
    <w:p>
      <w:pPr>
        <w:spacing w:before="3" w:line="240" w:lineRule="auto"/>
        <w:ind w:left="23" w:right="13" w:firstLine="482"/>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 不同投标人的投标文件载明的项目管理成员或者联系人员为同一人；</w:t>
      </w:r>
    </w:p>
    <w:p>
      <w:pPr>
        <w:spacing w:before="3" w:line="240" w:lineRule="auto"/>
        <w:ind w:left="23" w:right="13" w:firstLine="482"/>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(4) 不同投标人的投标文件异常一致或者投标报价呈规律性差异；</w:t>
      </w:r>
    </w:p>
    <w:p>
      <w:pPr>
        <w:spacing w:before="3" w:line="240" w:lineRule="auto"/>
        <w:ind w:left="23" w:right="13" w:firstLine="482"/>
        <w:rPr>
          <w:rFonts w:ascii="宋体" w:hAnsi="宋体" w:eastAsia="宋体" w:cs="宋体"/>
          <w:color w:val="auto"/>
          <w:sz w:val="23"/>
          <w:szCs w:val="23"/>
          <w:highlight w:val="none"/>
        </w:rPr>
      </w:pPr>
      <w:r>
        <w:rPr>
          <w:rFonts w:hint="eastAsia" w:ascii="宋体" w:hAnsi="宋体" w:eastAsia="宋体" w:cs="宋体"/>
          <w:color w:val="auto"/>
          <w:sz w:val="24"/>
          <w:szCs w:val="24"/>
          <w:highlight w:val="none"/>
        </w:rPr>
        <w:t>(5) 不同投标人的投标文件相互混装；</w:t>
      </w:r>
    </w:p>
    <w:p>
      <w:pPr>
        <w:spacing w:line="240" w:lineRule="auto"/>
        <w:ind w:firstLine="622" w:firstLineChars="200"/>
        <w:jc w:val="center"/>
        <w:outlineLvl w:val="1"/>
        <w:rPr>
          <w:rFonts w:ascii="宋体" w:hAnsi="宋体" w:eastAsia="宋体" w:cs="宋体"/>
          <w:b/>
          <w:bCs/>
          <w:color w:val="auto"/>
          <w:sz w:val="31"/>
          <w:szCs w:val="31"/>
          <w:highlight w:val="none"/>
        </w:rPr>
      </w:pPr>
      <w:bookmarkStart w:id="104" w:name="_Toc2277"/>
      <w:bookmarkStart w:id="105" w:name="_Toc11580"/>
      <w:r>
        <w:rPr>
          <w:rFonts w:hint="eastAsia" w:ascii="宋体" w:hAnsi="宋体" w:eastAsia="宋体" w:cs="宋体"/>
          <w:b/>
          <w:bCs/>
          <w:color w:val="auto"/>
          <w:sz w:val="31"/>
          <w:szCs w:val="31"/>
          <w:highlight w:val="none"/>
        </w:rPr>
        <w:t>八、询问、质疑和投诉</w:t>
      </w:r>
      <w:bookmarkEnd w:id="104"/>
      <w:bookmarkEnd w:id="105"/>
    </w:p>
    <w:p>
      <w:pPr>
        <w:spacing w:before="3" w:line="240" w:lineRule="auto"/>
        <w:ind w:left="23" w:right="13" w:firstLine="482"/>
        <w:rPr>
          <w:rFonts w:ascii="宋体" w:hAnsi="宋体" w:eastAsia="宋体" w:cs="宋体"/>
          <w:color w:val="auto"/>
          <w:sz w:val="23"/>
          <w:szCs w:val="23"/>
          <w:highlight w:val="none"/>
        </w:rPr>
      </w:pPr>
      <w:r>
        <w:rPr>
          <w:rFonts w:hint="eastAsia" w:hAnsi="宋体"/>
          <w:color w:val="auto"/>
          <w:sz w:val="24"/>
          <w:highlight w:val="none"/>
        </w:rPr>
        <w:t>详见《供应商须知前附表》。</w:t>
      </w:r>
    </w:p>
    <w:p>
      <w:pPr>
        <w:spacing w:line="240" w:lineRule="auto"/>
        <w:ind w:firstLine="622" w:firstLineChars="200"/>
        <w:jc w:val="center"/>
        <w:outlineLvl w:val="1"/>
        <w:rPr>
          <w:rFonts w:ascii="宋体" w:hAnsi="宋体" w:eastAsia="宋体" w:cs="宋体"/>
          <w:b/>
          <w:bCs/>
          <w:color w:val="auto"/>
          <w:sz w:val="31"/>
          <w:szCs w:val="31"/>
          <w:highlight w:val="none"/>
        </w:rPr>
      </w:pPr>
      <w:bookmarkStart w:id="106" w:name="_Toc13074"/>
      <w:bookmarkStart w:id="107" w:name="_Toc30615"/>
      <w:r>
        <w:rPr>
          <w:rFonts w:hint="eastAsia" w:ascii="宋体" w:hAnsi="宋体" w:eastAsia="宋体" w:cs="宋体"/>
          <w:b/>
          <w:bCs/>
          <w:color w:val="auto"/>
          <w:sz w:val="31"/>
          <w:szCs w:val="31"/>
          <w:highlight w:val="none"/>
        </w:rPr>
        <w:t>九、其他</w:t>
      </w:r>
      <w:bookmarkEnd w:id="106"/>
      <w:bookmarkEnd w:id="107"/>
    </w:p>
    <w:p>
      <w:pPr>
        <w:spacing w:before="3" w:line="240" w:lineRule="auto"/>
        <w:ind w:left="23" w:right="13" w:firstLine="482"/>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37</w:t>
      </w:r>
      <w:r>
        <w:rPr>
          <w:rFonts w:hint="eastAsia" w:ascii="宋体" w:hAnsi="宋体" w:eastAsia="宋体" w:cs="宋体"/>
          <w:color w:val="auto"/>
          <w:sz w:val="24"/>
          <w:szCs w:val="24"/>
          <w:highlight w:val="none"/>
        </w:rPr>
        <w:t>.本招标文件中所</w:t>
      </w:r>
      <w:r>
        <w:rPr>
          <w:rFonts w:hint="eastAsia" w:ascii="宋体" w:hAnsi="宋体" w:eastAsia="宋体" w:cs="宋体"/>
          <w:color w:val="auto"/>
          <w:sz w:val="24"/>
          <w:szCs w:val="24"/>
          <w:highlight w:val="none"/>
          <w:lang w:eastAsia="zh-CN"/>
        </w:rPr>
        <w:t>引用</w:t>
      </w:r>
      <w:r>
        <w:rPr>
          <w:rFonts w:hint="eastAsia" w:ascii="宋体" w:hAnsi="宋体" w:eastAsia="宋体" w:cs="宋体"/>
          <w:color w:val="auto"/>
          <w:sz w:val="24"/>
          <w:szCs w:val="24"/>
          <w:highlight w:val="none"/>
        </w:rPr>
        <w:t>相关法律制度规定，在政府采购中有变化的，按照变化后的相关法律制度规定执行。本章和第七章中“1.总则、2.评标方法、3.评标程序”规定的内容条款，在本项目投标截止时间届满后，因相关法律制度规定的变化导致不符合相关法律制度规定的，直接按照变化后的相关法律制度规定执行，本招标文件不再</w:t>
      </w:r>
      <w:r>
        <w:rPr>
          <w:rFonts w:hint="eastAsia" w:ascii="宋体" w:hAnsi="宋体" w:eastAsia="宋体" w:cs="宋体"/>
          <w:color w:val="auto"/>
          <w:sz w:val="24"/>
          <w:szCs w:val="24"/>
          <w:highlight w:val="none"/>
          <w:lang w:eastAsia="zh-CN"/>
        </w:rPr>
        <w:t>作调整</w:t>
      </w:r>
      <w:r>
        <w:rPr>
          <w:rFonts w:hint="eastAsia" w:ascii="宋体" w:hAnsi="宋体" w:eastAsia="宋体" w:cs="宋体"/>
          <w:color w:val="auto"/>
          <w:sz w:val="24"/>
          <w:szCs w:val="24"/>
          <w:highlight w:val="none"/>
        </w:rPr>
        <w:t>。</w:t>
      </w:r>
    </w:p>
    <w:p>
      <w:pPr>
        <w:spacing w:before="3" w:line="240" w:lineRule="auto"/>
        <w:ind w:left="23" w:right="13" w:firstLine="482"/>
        <w:rPr>
          <w:rFonts w:ascii="宋体" w:hAnsi="宋体" w:eastAsia="宋体" w:cs="宋体"/>
          <w:b/>
          <w:bCs/>
          <w:color w:val="auto"/>
          <w:sz w:val="23"/>
          <w:szCs w:val="23"/>
          <w:highlight w:val="none"/>
        </w:rPr>
      </w:pPr>
      <w:r>
        <w:rPr>
          <w:rFonts w:hint="eastAsia" w:ascii="宋体" w:hAnsi="宋体" w:eastAsia="宋体" w:cs="宋体"/>
          <w:b/>
          <w:bCs/>
          <w:color w:val="auto"/>
          <w:sz w:val="24"/>
          <w:szCs w:val="24"/>
          <w:highlight w:val="none"/>
        </w:rPr>
        <w:t>42.本招标文件中加注(实质性要求)的条款，若未明确要求提供证明材料或承诺函，视为仅约束中标人，由中标人和招标人签订合同前进行核实。</w:t>
      </w:r>
    </w:p>
    <w:p>
      <w:pPr>
        <w:spacing w:line="240" w:lineRule="auto"/>
        <w:rPr>
          <w:color w:val="auto"/>
          <w:highlight w:val="none"/>
        </w:rPr>
        <w:sectPr>
          <w:headerReference r:id="rId4" w:type="default"/>
          <w:footerReference r:id="rId5" w:type="default"/>
          <w:pgSz w:w="11905" w:h="16838"/>
          <w:pgMar w:top="1417" w:right="1417" w:bottom="1417" w:left="1417" w:header="0" w:footer="1134" w:gutter="0"/>
          <w:cols w:space="425" w:num="1"/>
        </w:sectPr>
      </w:pPr>
    </w:p>
    <w:p>
      <w:pPr>
        <w:spacing w:before="114" w:line="240" w:lineRule="auto"/>
        <w:jc w:val="center"/>
        <w:outlineLvl w:val="0"/>
        <w:rPr>
          <w:rFonts w:ascii="宋体" w:hAnsi="宋体" w:eastAsia="宋体" w:cs="宋体"/>
          <w:color w:val="auto"/>
          <w:sz w:val="36"/>
          <w:szCs w:val="36"/>
          <w:highlight w:val="none"/>
          <w14:textOutline w14:w="6540" w14:cap="sq" w14:cmpd="sng" w14:algn="ctr">
            <w14:solidFill>
              <w14:srgbClr w14:val="000000"/>
            </w14:solidFill>
            <w14:prstDash w14:val="solid"/>
            <w14:bevel/>
          </w14:textOutline>
        </w:rPr>
      </w:pPr>
      <w:bookmarkStart w:id="108" w:name="_Toc17804"/>
      <w:r>
        <w:rPr>
          <w:rFonts w:hint="eastAsia" w:ascii="宋体" w:hAnsi="宋体" w:eastAsia="宋体" w:cs="宋体"/>
          <w:color w:val="auto"/>
          <w:sz w:val="36"/>
          <w:szCs w:val="36"/>
          <w:highlight w:val="none"/>
          <w14:textOutline w14:w="6540" w14:cap="sq" w14:cmpd="sng" w14:algn="ctr">
            <w14:solidFill>
              <w14:srgbClr w14:val="000000"/>
            </w14:solidFill>
            <w14:prstDash w14:val="solid"/>
            <w14:bevel/>
          </w14:textOutline>
        </w:rPr>
        <w:t>第三章 投标文件格式</w:t>
      </w:r>
      <w:bookmarkEnd w:id="108"/>
    </w:p>
    <w:p>
      <w:pPr>
        <w:spacing w:line="240" w:lineRule="auto"/>
        <w:rPr>
          <w:color w:val="auto"/>
          <w:highlight w:val="none"/>
        </w:rPr>
      </w:pPr>
    </w:p>
    <w:p>
      <w:pPr>
        <w:spacing w:line="240" w:lineRule="auto"/>
        <w:rPr>
          <w:color w:val="auto"/>
          <w:highlight w:val="none"/>
        </w:rPr>
      </w:pPr>
    </w:p>
    <w:p>
      <w:pPr>
        <w:spacing w:line="240" w:lineRule="auto"/>
        <w:rPr>
          <w:color w:val="auto"/>
          <w:highlight w:val="none"/>
        </w:rPr>
      </w:pPr>
    </w:p>
    <w:p>
      <w:pPr>
        <w:spacing w:before="3" w:line="240" w:lineRule="auto"/>
        <w:ind w:left="23" w:right="13" w:firstLine="482"/>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一、本章所制投标文件格式，除格式中明确将该格式作为实质性要求的，一律不具有强制性。</w:t>
      </w:r>
    </w:p>
    <w:p>
      <w:pPr>
        <w:spacing w:before="3" w:line="240" w:lineRule="auto"/>
        <w:ind w:left="23" w:right="13" w:firstLine="482"/>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二、本章所制投标文件格式有关表格中的备注栏，由投标人根据自身投标情况作解释性说明，不作为必填项。</w:t>
      </w:r>
    </w:p>
    <w:p>
      <w:pPr>
        <w:spacing w:before="3" w:line="240" w:lineRule="auto"/>
        <w:ind w:left="23" w:right="13" w:firstLine="482"/>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三、本章所制投标文件格式中需要填写的相关内容事项，可能会与本采购项目无关，在不改变投标文件原义、不影响本项目采购需求的情况下，投标人可以不予填写。</w:t>
      </w:r>
    </w:p>
    <w:p>
      <w:pPr>
        <w:spacing w:before="3" w:line="240" w:lineRule="auto"/>
        <w:ind w:left="23" w:right="13" w:firstLine="482"/>
        <w:rPr>
          <w:rFonts w:ascii="宋体" w:hAnsi="宋体" w:eastAsia="宋体" w:cs="宋体"/>
          <w:color w:val="auto"/>
          <w:sz w:val="23"/>
          <w:szCs w:val="23"/>
          <w:highlight w:val="none"/>
        </w:rPr>
      </w:pPr>
      <w:r>
        <w:rPr>
          <w:rFonts w:hint="eastAsia" w:ascii="宋体" w:hAnsi="宋体" w:eastAsia="宋体" w:cs="宋体"/>
          <w:color w:val="auto"/>
          <w:sz w:val="24"/>
          <w:szCs w:val="24"/>
          <w:highlight w:val="none"/>
        </w:rPr>
        <w:t>四、本章格式中“注”的内容，投标人可以自行决定是否保留在投标文件中。未保留视为投标人默认接受“注”的内容。</w:t>
      </w:r>
    </w:p>
    <w:p>
      <w:pPr>
        <w:spacing w:line="240" w:lineRule="auto"/>
        <w:rPr>
          <w:color w:val="auto"/>
          <w:highlight w:val="none"/>
        </w:rPr>
        <w:sectPr>
          <w:footerReference r:id="rId6" w:type="default"/>
          <w:pgSz w:w="11905" w:h="16838"/>
          <w:pgMar w:top="1417" w:right="1417" w:bottom="1417" w:left="1417" w:header="0" w:footer="1134" w:gutter="0"/>
          <w:cols w:space="425" w:num="1"/>
        </w:sectPr>
      </w:pPr>
    </w:p>
    <w:p>
      <w:pPr>
        <w:spacing w:line="240" w:lineRule="auto"/>
        <w:rPr>
          <w:color w:val="auto"/>
          <w:sz w:val="2"/>
          <w:highlight w:val="none"/>
        </w:rPr>
      </w:pPr>
      <w:r>
        <w:rPr>
          <w:color w:val="auto"/>
          <w:sz w:val="2"/>
          <w:szCs w:val="2"/>
          <w:highlight w:val="none"/>
        </w:rPr>
        <w:br w:type="column"/>
      </w:r>
    </w:p>
    <w:p>
      <w:pPr>
        <w:spacing w:line="240" w:lineRule="auto"/>
        <w:rPr>
          <w:color w:val="auto"/>
          <w:highlight w:val="none"/>
        </w:rPr>
      </w:pPr>
    </w:p>
    <w:p>
      <w:pPr>
        <w:spacing w:before="3" w:line="240" w:lineRule="auto"/>
        <w:ind w:left="23" w:right="13" w:firstLine="482"/>
        <w:jc w:val="center"/>
        <w:outlineLvl w:val="9"/>
        <w:rPr>
          <w:rFonts w:ascii="宋体" w:hAnsi="宋体" w:eastAsia="宋体" w:cs="宋体"/>
          <w:b/>
          <w:bCs/>
          <w:color w:val="auto"/>
          <w:sz w:val="32"/>
          <w:szCs w:val="32"/>
          <w:highlight w:val="none"/>
        </w:rPr>
      </w:pPr>
      <w:bookmarkStart w:id="109" w:name="_Toc32221"/>
      <w:r>
        <w:rPr>
          <w:rFonts w:hint="eastAsia" w:ascii="宋体" w:hAnsi="宋体" w:eastAsia="宋体" w:cs="宋体"/>
          <w:b/>
          <w:bCs/>
          <w:color w:val="auto"/>
          <w:sz w:val="32"/>
          <w:szCs w:val="32"/>
          <w:highlight w:val="none"/>
        </w:rPr>
        <w:t>资格性投标文件封面</w:t>
      </w:r>
      <w:bookmarkEnd w:id="109"/>
    </w:p>
    <w:p>
      <w:pPr>
        <w:pStyle w:val="2"/>
        <w:spacing w:line="240" w:lineRule="auto"/>
        <w:rPr>
          <w:rFonts w:ascii="宋体" w:hAnsi="宋体" w:eastAsia="宋体" w:cs="宋体"/>
          <w:b/>
          <w:bCs/>
          <w:color w:val="auto"/>
          <w:sz w:val="32"/>
          <w:szCs w:val="32"/>
          <w:highlight w:val="none"/>
        </w:rPr>
      </w:pPr>
    </w:p>
    <w:p>
      <w:pPr>
        <w:spacing w:line="240" w:lineRule="auto"/>
        <w:rPr>
          <w:color w:val="auto"/>
          <w:highlight w:val="none"/>
        </w:rPr>
      </w:pPr>
    </w:p>
    <w:p>
      <w:pPr>
        <w:spacing w:line="240" w:lineRule="auto"/>
        <w:rPr>
          <w:color w:val="auto"/>
          <w:highlight w:val="none"/>
        </w:rPr>
      </w:pPr>
    </w:p>
    <w:tbl>
      <w:tblPr>
        <w:tblStyle w:val="23"/>
        <w:tblW w:w="2001" w:type="dxa"/>
        <w:tblInd w:w="6314"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2001"/>
      </w:tblGrid>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474" w:hRule="atLeast"/>
        </w:trPr>
        <w:tc>
          <w:tcPr>
            <w:tcW w:w="2001" w:type="dxa"/>
          </w:tcPr>
          <w:p>
            <w:pPr>
              <w:spacing w:before="58" w:line="240" w:lineRule="auto"/>
              <w:ind w:left="567"/>
              <w:rPr>
                <w:rFonts w:ascii="宋体" w:hAnsi="宋体" w:eastAsia="宋体" w:cs="宋体"/>
                <w:color w:val="auto"/>
                <w:sz w:val="35"/>
                <w:szCs w:val="35"/>
                <w:highlight w:val="none"/>
              </w:rPr>
            </w:pPr>
            <w:r>
              <w:rPr>
                <w:rFonts w:hint="eastAsia" w:ascii="宋体" w:hAnsi="宋体" w:eastAsia="宋体" w:cs="宋体"/>
                <w:b/>
                <w:bCs/>
                <w:color w:val="auto"/>
                <w:sz w:val="32"/>
                <w:szCs w:val="32"/>
                <w:highlight w:val="none"/>
              </w:rPr>
              <w:t>正/副 本</w:t>
            </w:r>
          </w:p>
        </w:tc>
      </w:tr>
    </w:tbl>
    <w:p>
      <w:pPr>
        <w:spacing w:before="3" w:line="240" w:lineRule="auto"/>
        <w:ind w:left="23" w:right="13" w:firstLine="482"/>
        <w:jc w:val="center"/>
        <w:rPr>
          <w:rFonts w:ascii="宋体" w:hAnsi="宋体" w:eastAsia="宋体" w:cs="宋体"/>
          <w:b/>
          <w:bCs/>
          <w:color w:val="auto"/>
          <w:sz w:val="44"/>
          <w:szCs w:val="44"/>
          <w:highlight w:val="none"/>
        </w:rPr>
      </w:pPr>
    </w:p>
    <w:p>
      <w:pPr>
        <w:pStyle w:val="2"/>
        <w:spacing w:line="240" w:lineRule="auto"/>
        <w:rPr>
          <w:color w:val="auto"/>
          <w:highlight w:val="none"/>
        </w:rPr>
      </w:pPr>
    </w:p>
    <w:p>
      <w:pPr>
        <w:spacing w:before="3" w:line="240" w:lineRule="auto"/>
        <w:ind w:left="23" w:right="13" w:firstLine="482"/>
        <w:jc w:val="center"/>
        <w:outlineLvl w:val="1"/>
        <w:rPr>
          <w:rFonts w:ascii="宋体" w:hAnsi="宋体" w:eastAsia="宋体" w:cs="宋体"/>
          <w:b/>
          <w:bCs/>
          <w:color w:val="auto"/>
          <w:sz w:val="44"/>
          <w:szCs w:val="44"/>
          <w:highlight w:val="none"/>
        </w:rPr>
      </w:pPr>
      <w:bookmarkStart w:id="110" w:name="_Toc5586"/>
      <w:bookmarkStart w:id="111" w:name="_Toc26429"/>
      <w:r>
        <w:rPr>
          <w:rFonts w:hint="eastAsia" w:ascii="宋体" w:hAnsi="宋体" w:eastAsia="宋体" w:cs="宋体"/>
          <w:b/>
          <w:bCs/>
          <w:color w:val="auto"/>
          <w:sz w:val="44"/>
          <w:szCs w:val="44"/>
          <w:highlight w:val="none"/>
        </w:rPr>
        <w:t>第一部分：资格性投标文件</w:t>
      </w:r>
      <w:bookmarkEnd w:id="110"/>
      <w:bookmarkEnd w:id="111"/>
    </w:p>
    <w:p>
      <w:pPr>
        <w:spacing w:line="240" w:lineRule="auto"/>
        <w:rPr>
          <w:color w:val="auto"/>
          <w:highlight w:val="none"/>
        </w:rPr>
      </w:pPr>
    </w:p>
    <w:p>
      <w:pPr>
        <w:spacing w:line="240" w:lineRule="auto"/>
        <w:rPr>
          <w:color w:val="auto"/>
          <w:highlight w:val="none"/>
        </w:rPr>
      </w:pPr>
    </w:p>
    <w:p>
      <w:pPr>
        <w:pStyle w:val="2"/>
        <w:spacing w:line="240" w:lineRule="auto"/>
        <w:rPr>
          <w:rFonts w:ascii="Arial"/>
          <w:color w:val="auto"/>
          <w:sz w:val="21"/>
          <w:highlight w:val="none"/>
        </w:rPr>
      </w:pPr>
    </w:p>
    <w:p>
      <w:pPr>
        <w:spacing w:line="240" w:lineRule="auto"/>
        <w:rPr>
          <w:color w:val="auto"/>
          <w:highlight w:val="none"/>
        </w:rPr>
      </w:pPr>
    </w:p>
    <w:p>
      <w:pPr>
        <w:spacing w:line="240" w:lineRule="auto"/>
        <w:rPr>
          <w:color w:val="auto"/>
          <w:highlight w:val="none"/>
        </w:rPr>
      </w:pPr>
    </w:p>
    <w:p>
      <w:pPr>
        <w:spacing w:line="240" w:lineRule="auto"/>
        <w:rPr>
          <w:color w:val="auto"/>
          <w:highlight w:val="none"/>
        </w:rPr>
      </w:pPr>
    </w:p>
    <w:p>
      <w:pPr>
        <w:spacing w:before="3" w:line="240" w:lineRule="auto"/>
        <w:ind w:left="23" w:right="13" w:firstLine="482"/>
        <w:jc w:val="both"/>
        <w:rPr>
          <w:rFonts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采购项目名称：</w:t>
      </w:r>
      <w:r>
        <w:rPr>
          <w:rFonts w:hint="eastAsia" w:ascii="宋体" w:hAnsi="宋体" w:eastAsia="宋体" w:cs="宋体"/>
          <w:b/>
          <w:bCs/>
          <w:color w:val="auto"/>
          <w:sz w:val="32"/>
          <w:szCs w:val="32"/>
          <w:highlight w:val="none"/>
          <w:u w:val="single"/>
        </w:rPr>
        <w:t xml:space="preserve">                </w:t>
      </w:r>
      <w:r>
        <w:rPr>
          <w:rFonts w:hint="eastAsia" w:ascii="宋体" w:hAnsi="宋体" w:eastAsia="宋体" w:cs="宋体"/>
          <w:b/>
          <w:bCs/>
          <w:color w:val="auto"/>
          <w:sz w:val="32"/>
          <w:szCs w:val="32"/>
          <w:highlight w:val="none"/>
        </w:rPr>
        <w:t xml:space="preserve">                     </w:t>
      </w:r>
    </w:p>
    <w:p>
      <w:pPr>
        <w:spacing w:before="3" w:line="240" w:lineRule="auto"/>
        <w:ind w:left="23" w:right="13" w:firstLine="482"/>
        <w:jc w:val="both"/>
        <w:rPr>
          <w:rFonts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采购文件编号：</w:t>
      </w:r>
      <w:r>
        <w:rPr>
          <w:rFonts w:hint="eastAsia" w:ascii="宋体" w:hAnsi="宋体" w:eastAsia="宋体" w:cs="宋体"/>
          <w:b/>
          <w:bCs/>
          <w:color w:val="auto"/>
          <w:sz w:val="32"/>
          <w:szCs w:val="32"/>
          <w:highlight w:val="none"/>
          <w:u w:val="single"/>
        </w:rPr>
        <w:t xml:space="preserve">                </w:t>
      </w:r>
      <w:r>
        <w:rPr>
          <w:rFonts w:hint="eastAsia" w:ascii="宋体" w:hAnsi="宋体" w:eastAsia="宋体" w:cs="宋体"/>
          <w:b/>
          <w:bCs/>
          <w:color w:val="auto"/>
          <w:sz w:val="32"/>
          <w:szCs w:val="32"/>
          <w:highlight w:val="none"/>
        </w:rPr>
        <w:t xml:space="preserve">                       </w:t>
      </w:r>
    </w:p>
    <w:p>
      <w:pPr>
        <w:spacing w:before="3" w:line="240" w:lineRule="auto"/>
        <w:ind w:left="23" w:right="13" w:firstLine="482"/>
        <w:jc w:val="both"/>
        <w:rPr>
          <w:rFonts w:ascii="宋体" w:hAnsi="宋体" w:eastAsia="宋体" w:cs="宋体"/>
          <w:b/>
          <w:bCs/>
          <w:color w:val="auto"/>
          <w:spacing w:val="18"/>
          <w:sz w:val="32"/>
          <w:szCs w:val="32"/>
          <w:highlight w:val="none"/>
        </w:rPr>
      </w:pPr>
      <w:r>
        <w:rPr>
          <w:rFonts w:hint="eastAsia" w:ascii="宋体" w:hAnsi="宋体" w:eastAsia="宋体" w:cs="宋体"/>
          <w:b/>
          <w:bCs/>
          <w:color w:val="auto"/>
          <w:sz w:val="32"/>
          <w:szCs w:val="32"/>
          <w:highlight w:val="none"/>
        </w:rPr>
        <w:t>投标人名称(盖单位公章) ：</w:t>
      </w:r>
      <w:r>
        <w:rPr>
          <w:rFonts w:hint="eastAsia" w:ascii="宋体" w:hAnsi="宋体" w:eastAsia="宋体" w:cs="宋体"/>
          <w:b/>
          <w:bCs/>
          <w:color w:val="auto"/>
          <w:spacing w:val="18"/>
          <w:sz w:val="32"/>
          <w:szCs w:val="32"/>
          <w:highlight w:val="none"/>
          <w:u w:val="single"/>
        </w:rPr>
        <w:t xml:space="preserve">           </w:t>
      </w:r>
      <w:r>
        <w:rPr>
          <w:rFonts w:hint="eastAsia" w:ascii="宋体" w:hAnsi="宋体" w:eastAsia="宋体" w:cs="宋体"/>
          <w:b/>
          <w:bCs/>
          <w:color w:val="auto"/>
          <w:spacing w:val="18"/>
          <w:sz w:val="32"/>
          <w:szCs w:val="32"/>
          <w:highlight w:val="none"/>
        </w:rPr>
        <w:t xml:space="preserve">              </w:t>
      </w:r>
    </w:p>
    <w:p>
      <w:pPr>
        <w:spacing w:before="3" w:line="240" w:lineRule="auto"/>
        <w:ind w:left="23" w:right="13" w:firstLine="482"/>
        <w:jc w:val="both"/>
        <w:rPr>
          <w:rFonts w:ascii="宋体" w:hAnsi="宋体" w:eastAsia="宋体" w:cs="宋体"/>
          <w:b/>
          <w:bCs/>
          <w:color w:val="auto"/>
          <w:spacing w:val="18"/>
          <w:sz w:val="32"/>
          <w:szCs w:val="32"/>
          <w:highlight w:val="none"/>
        </w:rPr>
      </w:pPr>
      <w:r>
        <w:rPr>
          <w:rFonts w:hint="eastAsia" w:ascii="宋体" w:hAnsi="宋体" w:eastAsia="宋体" w:cs="宋体"/>
          <w:b/>
          <w:bCs/>
          <w:color w:val="auto"/>
          <w:spacing w:val="18"/>
          <w:sz w:val="32"/>
          <w:szCs w:val="32"/>
          <w:highlight w:val="none"/>
        </w:rPr>
        <w:t xml:space="preserve">                              </w:t>
      </w:r>
    </w:p>
    <w:p>
      <w:pPr>
        <w:spacing w:before="3" w:line="240" w:lineRule="auto"/>
        <w:ind w:left="23" w:right="13" w:firstLine="482"/>
        <w:jc w:val="center"/>
        <w:rPr>
          <w:rFonts w:ascii="宋体" w:hAnsi="宋体" w:eastAsia="宋体" w:cs="宋体"/>
          <w:b/>
          <w:bCs/>
          <w:color w:val="auto"/>
          <w:spacing w:val="18"/>
          <w:sz w:val="32"/>
          <w:szCs w:val="32"/>
          <w:highlight w:val="none"/>
        </w:rPr>
      </w:pPr>
    </w:p>
    <w:p>
      <w:pPr>
        <w:spacing w:before="3" w:line="240" w:lineRule="auto"/>
        <w:ind w:left="23" w:right="13" w:firstLine="482"/>
        <w:jc w:val="center"/>
        <w:rPr>
          <w:rFonts w:ascii="宋体" w:hAnsi="宋体" w:eastAsia="宋体" w:cs="宋体"/>
          <w:b/>
          <w:bCs/>
          <w:color w:val="auto"/>
          <w:spacing w:val="18"/>
          <w:sz w:val="32"/>
          <w:szCs w:val="32"/>
          <w:highlight w:val="none"/>
        </w:rPr>
      </w:pPr>
    </w:p>
    <w:p>
      <w:pPr>
        <w:spacing w:before="3" w:line="240" w:lineRule="auto"/>
        <w:ind w:left="23" w:right="13" w:firstLine="1057" w:firstLineChars="329"/>
        <w:jc w:val="both"/>
        <w:rPr>
          <w:rFonts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日    期 ：</w:t>
      </w:r>
      <w:r>
        <w:rPr>
          <w:rFonts w:hint="eastAsia" w:ascii="宋体" w:hAnsi="宋体" w:eastAsia="宋体" w:cs="宋体"/>
          <w:b/>
          <w:bCs/>
          <w:color w:val="auto"/>
          <w:sz w:val="32"/>
          <w:szCs w:val="32"/>
          <w:highlight w:val="none"/>
          <w:u w:val="single"/>
        </w:rPr>
        <w:t xml:space="preserve">       </w:t>
      </w:r>
      <w:r>
        <w:rPr>
          <w:rFonts w:hint="eastAsia" w:ascii="宋体" w:hAnsi="宋体" w:eastAsia="宋体" w:cs="宋体"/>
          <w:b/>
          <w:bCs/>
          <w:color w:val="auto"/>
          <w:sz w:val="32"/>
          <w:szCs w:val="32"/>
          <w:highlight w:val="none"/>
        </w:rPr>
        <w:t>年</w:t>
      </w:r>
      <w:r>
        <w:rPr>
          <w:rFonts w:hint="eastAsia" w:ascii="宋体" w:hAnsi="宋体" w:eastAsia="宋体" w:cs="宋体"/>
          <w:b/>
          <w:bCs/>
          <w:color w:val="auto"/>
          <w:sz w:val="32"/>
          <w:szCs w:val="32"/>
          <w:highlight w:val="none"/>
          <w:u w:val="single"/>
        </w:rPr>
        <w:t xml:space="preserve">    </w:t>
      </w:r>
      <w:r>
        <w:rPr>
          <w:rFonts w:hint="eastAsia" w:ascii="宋体" w:hAnsi="宋体" w:eastAsia="宋体" w:cs="宋体"/>
          <w:b/>
          <w:bCs/>
          <w:color w:val="auto"/>
          <w:sz w:val="32"/>
          <w:szCs w:val="32"/>
          <w:highlight w:val="none"/>
        </w:rPr>
        <w:t>月</w:t>
      </w:r>
      <w:r>
        <w:rPr>
          <w:rFonts w:hint="eastAsia" w:ascii="宋体" w:hAnsi="宋体" w:eastAsia="宋体" w:cs="宋体"/>
          <w:b/>
          <w:bCs/>
          <w:color w:val="auto"/>
          <w:sz w:val="32"/>
          <w:szCs w:val="32"/>
          <w:highlight w:val="none"/>
          <w:u w:val="single"/>
        </w:rPr>
        <w:t xml:space="preserve">     </w:t>
      </w:r>
      <w:r>
        <w:rPr>
          <w:rFonts w:hint="eastAsia" w:ascii="宋体" w:hAnsi="宋体" w:eastAsia="宋体" w:cs="宋体"/>
          <w:b/>
          <w:bCs/>
          <w:color w:val="auto"/>
          <w:sz w:val="32"/>
          <w:szCs w:val="32"/>
          <w:highlight w:val="none"/>
        </w:rPr>
        <w:t>日</w:t>
      </w:r>
    </w:p>
    <w:p>
      <w:pPr>
        <w:spacing w:line="240" w:lineRule="auto"/>
        <w:rPr>
          <w:color w:val="auto"/>
          <w:highlight w:val="none"/>
        </w:rPr>
        <w:sectPr>
          <w:headerReference r:id="rId7" w:type="default"/>
          <w:footerReference r:id="rId8" w:type="default"/>
          <w:type w:val="continuous"/>
          <w:pgSz w:w="11905" w:h="16838"/>
          <w:pgMar w:top="1417" w:right="1417" w:bottom="1417" w:left="1417" w:header="0" w:footer="1134" w:gutter="0"/>
          <w:cols w:space="425" w:num="1"/>
        </w:sectPr>
      </w:pPr>
    </w:p>
    <w:p>
      <w:pPr>
        <w:spacing w:before="3" w:line="240" w:lineRule="auto"/>
        <w:ind w:right="13"/>
        <w:jc w:val="center"/>
        <w:outlineLvl w:val="9"/>
        <w:rPr>
          <w:rFonts w:ascii="宋体" w:hAnsi="宋体" w:eastAsia="宋体" w:cs="宋体"/>
          <w:b/>
          <w:bCs/>
          <w:color w:val="auto"/>
          <w:sz w:val="32"/>
          <w:szCs w:val="32"/>
          <w:highlight w:val="none"/>
        </w:rPr>
      </w:pPr>
      <w:bookmarkStart w:id="112" w:name="_Toc6855"/>
      <w:bookmarkStart w:id="113" w:name="_Toc538"/>
      <w:r>
        <w:rPr>
          <w:rFonts w:hint="eastAsia" w:ascii="宋体" w:hAnsi="宋体" w:eastAsia="宋体" w:cs="宋体"/>
          <w:b/>
          <w:bCs/>
          <w:color w:val="auto"/>
          <w:sz w:val="32"/>
          <w:szCs w:val="32"/>
          <w:highlight w:val="none"/>
        </w:rPr>
        <w:t>一、相关证明文件格式</w:t>
      </w:r>
      <w:bookmarkEnd w:id="112"/>
      <w:bookmarkEnd w:id="113"/>
    </w:p>
    <w:p>
      <w:pPr>
        <w:spacing w:before="3" w:line="240" w:lineRule="auto"/>
        <w:ind w:left="23" w:right="13" w:firstLine="482"/>
        <w:jc w:val="center"/>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1-1</w:t>
      </w:r>
    </w:p>
    <w:p>
      <w:pPr>
        <w:spacing w:before="3" w:line="240" w:lineRule="auto"/>
        <w:ind w:left="23" w:right="13" w:firstLine="482"/>
        <w:jc w:val="center"/>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法定代表人/单位负责人证明书</w:t>
      </w:r>
    </w:p>
    <w:p>
      <w:pPr>
        <w:spacing w:line="240" w:lineRule="auto"/>
        <w:rPr>
          <w:color w:val="auto"/>
          <w:highlight w:val="none"/>
        </w:rPr>
      </w:pPr>
    </w:p>
    <w:p>
      <w:pPr>
        <w:spacing w:before="75" w:line="240" w:lineRule="auto"/>
        <w:ind w:left="985"/>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单位名称：</w:t>
      </w:r>
      <w:r>
        <w:rPr>
          <w:rFonts w:hint="eastAsia" w:ascii="宋体" w:hAnsi="宋体" w:eastAsia="宋体" w:cs="宋体"/>
          <w:color w:val="auto"/>
          <w:sz w:val="24"/>
          <w:szCs w:val="24"/>
          <w:highlight w:val="none"/>
          <w:u w:val="single"/>
        </w:rPr>
        <w:t xml:space="preserve">                              </w:t>
      </w:r>
    </w:p>
    <w:p>
      <w:pPr>
        <w:spacing w:line="240" w:lineRule="auto"/>
        <w:ind w:left="983"/>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地址：</w:t>
      </w:r>
      <w:r>
        <w:rPr>
          <w:rFonts w:hint="eastAsia" w:ascii="宋体" w:hAnsi="宋体" w:eastAsia="宋体" w:cs="宋体"/>
          <w:color w:val="auto"/>
          <w:sz w:val="24"/>
          <w:szCs w:val="24"/>
          <w:highlight w:val="none"/>
          <w:u w:val="single"/>
        </w:rPr>
        <w:t xml:space="preserve">                                  </w:t>
      </w:r>
    </w:p>
    <w:p>
      <w:pPr>
        <w:spacing w:before="305" w:line="240" w:lineRule="auto"/>
        <w:ind w:left="983"/>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姓名：</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性别：</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年龄：</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职务：</w:t>
      </w:r>
      <w:r>
        <w:rPr>
          <w:rFonts w:hint="eastAsia" w:ascii="宋体" w:hAnsi="宋体" w:eastAsia="宋体" w:cs="宋体"/>
          <w:color w:val="auto"/>
          <w:sz w:val="24"/>
          <w:szCs w:val="24"/>
          <w:highlight w:val="none"/>
          <w:u w:val="single"/>
        </w:rPr>
        <w:t xml:space="preserve">              </w:t>
      </w:r>
    </w:p>
    <w:p>
      <w:pPr>
        <w:tabs>
          <w:tab w:val="left" w:pos="569"/>
        </w:tabs>
        <w:spacing w:before="315" w:line="240" w:lineRule="auto"/>
        <w:ind w:left="442" w:firstLine="541"/>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本人系</w:t>
      </w:r>
      <w:r>
        <w:rPr>
          <w:rFonts w:hint="eastAsia" w:ascii="宋体" w:hAnsi="宋体" w:eastAsia="宋体" w:cs="宋体"/>
          <w:color w:val="auto"/>
          <w:sz w:val="24"/>
          <w:szCs w:val="24"/>
          <w:highlight w:val="none"/>
          <w:u w:val="single"/>
        </w:rPr>
        <w:t xml:space="preserve">                        </w:t>
      </w:r>
      <w:r>
        <w:rPr>
          <w:rFonts w:ascii="宋体" w:hAnsi="宋体" w:eastAsia="宋体" w:cs="宋体"/>
          <w:color w:val="auto"/>
          <w:sz w:val="24"/>
          <w:szCs w:val="24"/>
          <w:highlight w:val="none"/>
        </w:rPr>
        <w:t>(</w:t>
      </w:r>
      <w:r>
        <w:rPr>
          <w:rFonts w:hint="eastAsia" w:ascii="宋体" w:hAnsi="宋体" w:eastAsia="宋体" w:cs="宋体"/>
          <w:color w:val="auto"/>
          <w:sz w:val="24"/>
          <w:szCs w:val="24"/>
          <w:highlight w:val="none"/>
        </w:rPr>
        <w:t>投标人名称) 的法定代表人/单位负责人。就参加贵公司组织的</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(采购项目名称)</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(采购项目编号)投标活动，签署上述项目的投标文件及合同的执行、完成、服务和保修，签署合同和处理与之有关的一切事务。</w:t>
      </w:r>
    </w:p>
    <w:p>
      <w:pPr>
        <w:spacing w:before="75" w:line="240" w:lineRule="auto"/>
        <w:ind w:left="985"/>
        <w:rPr>
          <w:rFonts w:ascii="宋体" w:hAnsi="宋体" w:eastAsia="宋体" w:cs="宋体"/>
          <w:color w:val="auto"/>
          <w:sz w:val="23"/>
          <w:szCs w:val="23"/>
          <w:highlight w:val="none"/>
        </w:rPr>
      </w:pPr>
      <w:r>
        <w:rPr>
          <w:rFonts w:hint="eastAsia" w:ascii="宋体" w:hAnsi="宋体" w:eastAsia="宋体" w:cs="宋体"/>
          <w:color w:val="auto"/>
          <w:sz w:val="24"/>
          <w:szCs w:val="24"/>
          <w:highlight w:val="none"/>
        </w:rPr>
        <w:t>特此证明。</w:t>
      </w:r>
    </w:p>
    <w:p>
      <w:pPr>
        <w:spacing w:line="240" w:lineRule="auto"/>
        <w:rPr>
          <w:color w:val="auto"/>
          <w:highlight w:val="none"/>
        </w:rPr>
      </w:pPr>
    </w:p>
    <w:p>
      <w:pPr>
        <w:spacing w:line="240" w:lineRule="auto"/>
        <w:rPr>
          <w:color w:val="auto"/>
          <w:highlight w:val="none"/>
        </w:rPr>
      </w:pPr>
    </w:p>
    <w:p>
      <w:pPr>
        <w:spacing w:line="240" w:lineRule="auto"/>
        <w:rPr>
          <w:color w:val="auto"/>
          <w:highlight w:val="none"/>
        </w:rPr>
      </w:pPr>
    </w:p>
    <w:p>
      <w:pPr>
        <w:spacing w:before="75" w:line="240" w:lineRule="auto"/>
        <w:ind w:left="985"/>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(※此处请附法定代表人/单位负责人身份证明材料正反两面复印件※)</w:t>
      </w:r>
    </w:p>
    <w:p>
      <w:pPr>
        <w:spacing w:line="240" w:lineRule="auto"/>
        <w:rPr>
          <w:color w:val="auto"/>
          <w:sz w:val="24"/>
          <w:szCs w:val="24"/>
          <w:highlight w:val="none"/>
        </w:rPr>
      </w:pPr>
    </w:p>
    <w:p>
      <w:pPr>
        <w:spacing w:line="240" w:lineRule="auto"/>
        <w:rPr>
          <w:color w:val="auto"/>
          <w:sz w:val="24"/>
          <w:szCs w:val="24"/>
          <w:highlight w:val="none"/>
        </w:rPr>
      </w:pPr>
    </w:p>
    <w:p>
      <w:pPr>
        <w:spacing w:before="3" w:line="240" w:lineRule="auto"/>
        <w:ind w:left="23" w:right="13" w:firstLine="482"/>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投标人名称：</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(盖单位公章)</w:t>
      </w:r>
    </w:p>
    <w:p>
      <w:pPr>
        <w:spacing w:before="3" w:line="240" w:lineRule="auto"/>
        <w:ind w:left="23" w:right="13" w:firstLine="482"/>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法定代表人/单位负责人(签字或加盖个人名章)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pPr>
        <w:spacing w:before="3" w:line="240" w:lineRule="auto"/>
        <w:ind w:left="23" w:right="13" w:firstLine="482"/>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日    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pPr>
        <w:spacing w:line="240" w:lineRule="auto"/>
        <w:rPr>
          <w:color w:val="auto"/>
          <w:sz w:val="24"/>
          <w:szCs w:val="24"/>
          <w:highlight w:val="none"/>
        </w:rPr>
      </w:pPr>
    </w:p>
    <w:p>
      <w:pPr>
        <w:spacing w:line="240" w:lineRule="auto"/>
        <w:rPr>
          <w:color w:val="auto"/>
          <w:sz w:val="24"/>
          <w:szCs w:val="24"/>
          <w:highlight w:val="none"/>
        </w:rPr>
      </w:pPr>
    </w:p>
    <w:p>
      <w:pPr>
        <w:spacing w:before="75" w:line="240" w:lineRule="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注意：1、法定代表人/单位负责人参加本项目投标的，仅须出具此证明书。</w:t>
      </w:r>
    </w:p>
    <w:p>
      <w:pPr>
        <w:spacing w:before="75" w:line="240" w:lineRule="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2、身份证明材料包括居民身份证或居民户口簿或军官证或护照等。</w:t>
      </w:r>
    </w:p>
    <w:p>
      <w:pPr>
        <w:spacing w:before="75" w:line="240" w:lineRule="auto"/>
        <w:rPr>
          <w:rFonts w:ascii="宋体" w:hAnsi="宋体" w:eastAsia="宋体" w:cs="宋体"/>
          <w:color w:val="auto"/>
          <w:sz w:val="23"/>
          <w:szCs w:val="23"/>
          <w:highlight w:val="none"/>
        </w:rPr>
      </w:pPr>
      <w:r>
        <w:rPr>
          <w:rFonts w:hint="eastAsia" w:ascii="宋体" w:hAnsi="宋体" w:eastAsia="宋体" w:cs="宋体"/>
          <w:b/>
          <w:bCs/>
          <w:color w:val="auto"/>
          <w:sz w:val="24"/>
          <w:szCs w:val="24"/>
          <w:highlight w:val="none"/>
        </w:rPr>
        <w:t>3、身份证明材料应同时提供其在有效期的材料，如居民身份证正、反面复印件</w:t>
      </w:r>
      <w:r>
        <w:rPr>
          <w:rFonts w:ascii="宋体" w:hAnsi="宋体" w:eastAsia="宋体" w:cs="宋体"/>
          <w:color w:val="auto"/>
          <w:position w:val="1"/>
          <w:sz w:val="24"/>
          <w:szCs w:val="24"/>
          <w:highlight w:val="none"/>
          <w14:textOutline w14:w="4356" w14:cap="sq" w14:cmpd="sng" w14:algn="ctr">
            <w14:solidFill>
              <w14:srgbClr w14:val="000000"/>
            </w14:solidFill>
            <w14:prstDash w14:val="solid"/>
            <w14:bevel/>
          </w14:textOutline>
        </w:rPr>
        <w:t>。</w:t>
      </w:r>
    </w:p>
    <w:p>
      <w:pPr>
        <w:spacing w:line="240" w:lineRule="auto"/>
        <w:rPr>
          <w:color w:val="auto"/>
          <w:highlight w:val="none"/>
        </w:rPr>
        <w:sectPr>
          <w:headerReference r:id="rId9" w:type="default"/>
          <w:footerReference r:id="rId10" w:type="default"/>
          <w:pgSz w:w="11905" w:h="16838"/>
          <w:pgMar w:top="1417" w:right="1417" w:bottom="1417" w:left="1417" w:header="0" w:footer="1134" w:gutter="0"/>
          <w:cols w:space="425" w:num="1"/>
        </w:sectPr>
      </w:pPr>
    </w:p>
    <w:p>
      <w:pPr>
        <w:spacing w:before="3" w:line="240" w:lineRule="auto"/>
        <w:ind w:right="13"/>
        <w:jc w:val="center"/>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1-2</w:t>
      </w:r>
    </w:p>
    <w:p>
      <w:pPr>
        <w:spacing w:before="75" w:line="240" w:lineRule="auto"/>
        <w:ind w:left="2611"/>
        <w:rPr>
          <w:rFonts w:ascii="宋体" w:hAnsi="宋体" w:eastAsia="宋体" w:cs="宋体"/>
          <w:color w:val="auto"/>
          <w:sz w:val="23"/>
          <w:szCs w:val="23"/>
          <w:highlight w:val="none"/>
        </w:rPr>
      </w:pPr>
      <w:r>
        <w:rPr>
          <w:rFonts w:hint="eastAsia" w:ascii="宋体" w:hAnsi="宋体" w:eastAsia="宋体" w:cs="宋体"/>
          <w:b/>
          <w:bCs/>
          <w:color w:val="auto"/>
          <w:sz w:val="24"/>
          <w:szCs w:val="24"/>
          <w:highlight w:val="none"/>
        </w:rPr>
        <w:t>法定代表人/单位负责人授权书</w:t>
      </w:r>
    </w:p>
    <w:p>
      <w:pPr>
        <w:spacing w:line="240" w:lineRule="auto"/>
        <w:rPr>
          <w:color w:val="auto"/>
          <w:highlight w:val="none"/>
        </w:rPr>
      </w:pPr>
    </w:p>
    <w:p>
      <w:pPr>
        <w:spacing w:line="240" w:lineRule="auto"/>
        <w:rPr>
          <w:color w:val="auto"/>
          <w:highlight w:val="none"/>
        </w:rPr>
      </w:pPr>
    </w:p>
    <w:p>
      <w:pPr>
        <w:tabs>
          <w:tab w:val="left" w:pos="1588"/>
        </w:tabs>
        <w:spacing w:before="74" w:line="240" w:lineRule="auto"/>
        <w:ind w:left="14"/>
        <w:rPr>
          <w:rFonts w:ascii="宋体" w:hAnsi="宋体" w:eastAsia="宋体" w:cs="宋体"/>
          <w:color w:val="auto"/>
          <w:sz w:val="24"/>
          <w:szCs w:val="24"/>
          <w:highlight w:val="none"/>
        </w:rPr>
      </w:pPr>
      <w:r>
        <w:rPr>
          <w:rFonts w:ascii="宋体" w:hAnsi="宋体" w:eastAsia="宋体" w:cs="宋体"/>
          <w:color w:val="auto"/>
          <w:sz w:val="24"/>
          <w:szCs w:val="24"/>
          <w:highlight w:val="none"/>
          <w:u w:val="single"/>
        </w:rPr>
        <w:tab/>
      </w:r>
      <w:r>
        <w:rPr>
          <w:rFonts w:hint="eastAsia" w:ascii="宋体" w:hAnsi="宋体" w:eastAsia="宋体" w:cs="宋体"/>
          <w:color w:val="auto"/>
          <w:sz w:val="24"/>
          <w:szCs w:val="24"/>
          <w:highlight w:val="none"/>
        </w:rPr>
        <w:t>(招标代理机构名称)：</w:t>
      </w:r>
    </w:p>
    <w:p>
      <w:pPr>
        <w:spacing w:before="77" w:line="240" w:lineRule="auto"/>
        <w:ind w:left="23" w:firstLine="471"/>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本授权声明：</w:t>
      </w:r>
      <w:r>
        <w:rPr>
          <w:rFonts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(投标人名称)</w:t>
      </w:r>
      <w:r>
        <w:rPr>
          <w:rFonts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(法定代表人/单位负责人姓名、职务)授权</w:t>
      </w:r>
      <w:r>
        <w:rPr>
          <w:rFonts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(被授权人姓名、职务)为我方“</w:t>
      </w:r>
      <w:r>
        <w:rPr>
          <w:rFonts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”项目(招标编号：</w:t>
      </w:r>
      <w:r>
        <w:rPr>
          <w:rFonts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)投标活动的合法代表，以我方名义全权处理该项目有关投标、签订合同以及执行合同等一切事宜。</w:t>
      </w:r>
    </w:p>
    <w:p>
      <w:pPr>
        <w:spacing w:line="240" w:lineRule="auto"/>
        <w:ind w:left="493"/>
        <w:rPr>
          <w:rFonts w:ascii="宋体" w:hAnsi="宋体" w:eastAsia="宋体" w:cs="宋体"/>
          <w:color w:val="auto"/>
          <w:sz w:val="23"/>
          <w:szCs w:val="23"/>
          <w:highlight w:val="none"/>
        </w:rPr>
      </w:pPr>
      <w:r>
        <w:rPr>
          <w:rFonts w:hint="eastAsia" w:ascii="宋体" w:hAnsi="宋体" w:eastAsia="宋体" w:cs="宋体"/>
          <w:color w:val="auto"/>
          <w:sz w:val="24"/>
          <w:szCs w:val="24"/>
          <w:highlight w:val="none"/>
        </w:rPr>
        <w:t>特此声明。</w:t>
      </w:r>
    </w:p>
    <w:p>
      <w:pPr>
        <w:spacing w:line="240" w:lineRule="auto"/>
        <w:rPr>
          <w:color w:val="auto"/>
          <w:highlight w:val="none"/>
        </w:rPr>
      </w:pPr>
    </w:p>
    <w:p>
      <w:pPr>
        <w:spacing w:line="240" w:lineRule="auto"/>
        <w:rPr>
          <w:color w:val="auto"/>
          <w:highlight w:val="none"/>
        </w:rPr>
      </w:pPr>
    </w:p>
    <w:p>
      <w:pPr>
        <w:spacing w:before="75" w:line="240" w:lineRule="auto"/>
        <w:ind w:left="492" w:right="871" w:firstLine="3"/>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投标人名称：</w:t>
      </w:r>
      <w:r>
        <w:rPr>
          <w:rFonts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(盖单位公章) </w:t>
      </w:r>
      <w:r>
        <w:rPr>
          <w:rFonts w:ascii="宋体" w:hAnsi="宋体" w:eastAsia="宋体" w:cs="宋体"/>
          <w:color w:val="auto"/>
          <w:sz w:val="24"/>
          <w:szCs w:val="24"/>
          <w:highlight w:val="none"/>
        </w:rPr>
        <w:t xml:space="preserve">          </w:t>
      </w:r>
    </w:p>
    <w:p>
      <w:pPr>
        <w:spacing w:before="75" w:line="240" w:lineRule="auto"/>
        <w:ind w:left="492" w:right="871" w:firstLine="3"/>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法定代表人/单位负责人(签字或者加盖个人名章) ：</w:t>
      </w:r>
      <w:r>
        <w:rPr>
          <w:rFonts w:ascii="宋体" w:hAnsi="宋体" w:eastAsia="宋体" w:cs="宋体"/>
          <w:color w:val="auto"/>
          <w:sz w:val="24"/>
          <w:szCs w:val="24"/>
          <w:highlight w:val="none"/>
          <w:u w:val="single"/>
        </w:rPr>
        <w:t xml:space="preserve">                </w:t>
      </w:r>
      <w:r>
        <w:rPr>
          <w:rFonts w:ascii="宋体" w:hAnsi="宋体" w:eastAsia="宋体" w:cs="宋体"/>
          <w:color w:val="auto"/>
          <w:sz w:val="24"/>
          <w:szCs w:val="24"/>
          <w:highlight w:val="none"/>
        </w:rPr>
        <w:t xml:space="preserve"> </w:t>
      </w:r>
    </w:p>
    <w:p>
      <w:pPr>
        <w:spacing w:before="75" w:line="240" w:lineRule="auto"/>
        <w:ind w:left="492" w:right="871" w:firstLine="3"/>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授权代表(签字或加盖个人名章) ：</w:t>
      </w:r>
      <w:r>
        <w:rPr>
          <w:rFonts w:ascii="宋体" w:hAnsi="宋体" w:eastAsia="宋体" w:cs="宋体"/>
          <w:color w:val="auto"/>
          <w:sz w:val="24"/>
          <w:szCs w:val="24"/>
          <w:highlight w:val="none"/>
          <w:u w:val="single"/>
        </w:rPr>
        <w:t xml:space="preserve">                  </w:t>
      </w:r>
    </w:p>
    <w:p>
      <w:pPr>
        <w:spacing w:before="3" w:line="240" w:lineRule="auto"/>
        <w:ind w:left="23" w:right="13" w:firstLine="482"/>
        <w:rPr>
          <w:rFonts w:ascii="宋体" w:hAnsi="宋体" w:eastAsia="宋体" w:cs="宋体"/>
          <w:color w:val="auto"/>
          <w:sz w:val="23"/>
          <w:szCs w:val="23"/>
          <w:highlight w:val="none"/>
        </w:rPr>
      </w:pPr>
      <w:r>
        <w:rPr>
          <w:rFonts w:hint="eastAsia" w:ascii="宋体" w:hAnsi="宋体" w:eastAsia="宋体" w:cs="宋体"/>
          <w:color w:val="auto"/>
          <w:sz w:val="24"/>
          <w:szCs w:val="24"/>
          <w:highlight w:val="none"/>
        </w:rPr>
        <w:t>日    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pPr>
        <w:spacing w:line="240" w:lineRule="auto"/>
        <w:rPr>
          <w:color w:val="auto"/>
          <w:highlight w:val="none"/>
        </w:rPr>
      </w:pPr>
    </w:p>
    <w:p>
      <w:pPr>
        <w:spacing w:line="240" w:lineRule="auto"/>
        <w:rPr>
          <w:color w:val="auto"/>
          <w:highlight w:val="none"/>
        </w:rPr>
      </w:pPr>
    </w:p>
    <w:p>
      <w:pPr>
        <w:spacing w:line="240" w:lineRule="auto"/>
        <w:rPr>
          <w:color w:val="auto"/>
          <w:highlight w:val="none"/>
        </w:rPr>
      </w:pPr>
    </w:p>
    <w:p>
      <w:pPr>
        <w:spacing w:line="240" w:lineRule="auto"/>
        <w:rPr>
          <w:color w:val="auto"/>
          <w:highlight w:val="none"/>
        </w:rPr>
      </w:pPr>
    </w:p>
    <w:p>
      <w:pPr>
        <w:spacing w:line="240" w:lineRule="auto"/>
        <w:rPr>
          <w:color w:val="auto"/>
          <w:highlight w:val="none"/>
        </w:rPr>
      </w:pPr>
    </w:p>
    <w:p>
      <w:pPr>
        <w:spacing w:line="240" w:lineRule="auto"/>
        <w:rPr>
          <w:color w:val="auto"/>
          <w:highlight w:val="none"/>
        </w:rPr>
      </w:pPr>
    </w:p>
    <w:p>
      <w:pPr>
        <w:spacing w:line="240" w:lineRule="auto"/>
        <w:rPr>
          <w:color w:val="auto"/>
          <w:highlight w:val="none"/>
        </w:rPr>
      </w:pPr>
    </w:p>
    <w:p>
      <w:pPr>
        <w:spacing w:before="3" w:line="240" w:lineRule="auto"/>
        <w:ind w:left="23" w:right="13" w:firstLine="482"/>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注：1、供应商为法人单位时提供“法定代表人授权书”，供应商为其他组织时提供“单位负责人授权书”，供应商为自然人时提供“自然人身份证明材料”。</w:t>
      </w:r>
    </w:p>
    <w:p>
      <w:pPr>
        <w:spacing w:before="3" w:line="240" w:lineRule="auto"/>
        <w:ind w:left="23" w:right="13" w:firstLine="482"/>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2、应附法定代表人/单位负责人身份证明材料复印件和授权代表身份证明材 料复印件(包括正反两面) 。</w:t>
      </w:r>
    </w:p>
    <w:p>
      <w:pPr>
        <w:spacing w:before="3" w:line="240" w:lineRule="auto"/>
        <w:ind w:left="23" w:right="13" w:firstLine="482"/>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3、身份证明材料包括居民身份证或居民户口簿或军官证或护照等。</w:t>
      </w:r>
    </w:p>
    <w:p>
      <w:pPr>
        <w:spacing w:before="3" w:line="240" w:lineRule="auto"/>
        <w:ind w:left="23" w:right="13" w:firstLine="482"/>
        <w:rPr>
          <w:rFonts w:ascii="宋体" w:hAnsi="宋体" w:eastAsia="宋体" w:cs="宋体"/>
          <w:b/>
          <w:bCs/>
          <w:color w:val="auto"/>
          <w:sz w:val="23"/>
          <w:szCs w:val="23"/>
          <w:highlight w:val="none"/>
        </w:rPr>
      </w:pPr>
      <w:r>
        <w:rPr>
          <w:rFonts w:hint="eastAsia" w:ascii="宋体" w:hAnsi="宋体" w:eastAsia="宋体" w:cs="宋体"/>
          <w:b/>
          <w:bCs/>
          <w:color w:val="auto"/>
          <w:sz w:val="24"/>
          <w:szCs w:val="24"/>
          <w:highlight w:val="none"/>
        </w:rPr>
        <w:t>4、身份证明材料应同时提供其在有效期的材料，如居民身份证正、反面复印件。</w:t>
      </w:r>
    </w:p>
    <w:p>
      <w:pPr>
        <w:spacing w:before="3" w:line="240" w:lineRule="auto"/>
        <w:ind w:right="13"/>
        <w:jc w:val="center"/>
        <w:rPr>
          <w:color w:val="auto"/>
          <w:highlight w:val="none"/>
        </w:rPr>
        <w:sectPr>
          <w:headerReference r:id="rId11" w:type="default"/>
          <w:footerReference r:id="rId12" w:type="default"/>
          <w:pgSz w:w="11905" w:h="16838"/>
          <w:pgMar w:top="1417" w:right="1417" w:bottom="1417" w:left="1417" w:header="0" w:footer="1134" w:gutter="0"/>
          <w:cols w:space="425" w:num="1"/>
        </w:sectPr>
      </w:pPr>
    </w:p>
    <w:p>
      <w:pPr>
        <w:spacing w:before="3" w:line="240" w:lineRule="auto"/>
        <w:ind w:right="13"/>
        <w:jc w:val="center"/>
        <w:outlineLvl w:val="9"/>
        <w:rPr>
          <w:rFonts w:ascii="宋体" w:hAnsi="宋体" w:eastAsia="宋体" w:cs="宋体"/>
          <w:b/>
          <w:bCs/>
          <w:color w:val="auto"/>
          <w:sz w:val="32"/>
          <w:szCs w:val="32"/>
          <w:highlight w:val="none"/>
        </w:rPr>
      </w:pPr>
      <w:bookmarkStart w:id="114" w:name="_Toc8667"/>
      <w:bookmarkStart w:id="115" w:name="_Toc17596"/>
      <w:r>
        <w:rPr>
          <w:rFonts w:hint="eastAsia" w:ascii="宋体" w:hAnsi="宋体" w:eastAsia="宋体" w:cs="宋体"/>
          <w:b/>
          <w:bCs/>
          <w:color w:val="auto"/>
          <w:sz w:val="32"/>
          <w:szCs w:val="32"/>
          <w:highlight w:val="none"/>
        </w:rPr>
        <w:t>二、资格性承诺函 (实质性要求)</w:t>
      </w:r>
      <w:bookmarkEnd w:id="114"/>
      <w:bookmarkEnd w:id="115"/>
    </w:p>
    <w:p>
      <w:pPr>
        <w:tabs>
          <w:tab w:val="left" w:pos="1948"/>
        </w:tabs>
        <w:spacing w:line="240" w:lineRule="auto"/>
        <w:rPr>
          <w:rFonts w:ascii="宋体" w:hAnsi="宋体" w:eastAsia="宋体" w:cs="宋体"/>
          <w:color w:val="auto"/>
          <w:sz w:val="23"/>
          <w:szCs w:val="23"/>
          <w:highlight w:val="none"/>
          <w:u w:val="single"/>
        </w:rPr>
      </w:pPr>
    </w:p>
    <w:p>
      <w:pPr>
        <w:tabs>
          <w:tab w:val="left" w:pos="1948"/>
        </w:tabs>
        <w:spacing w:line="240" w:lineRule="auto"/>
        <w:rPr>
          <w:rFonts w:ascii="宋体" w:hAnsi="宋体" w:eastAsia="宋体" w:cs="宋体"/>
          <w:color w:val="auto"/>
          <w:sz w:val="24"/>
          <w:szCs w:val="24"/>
          <w:highlight w:val="none"/>
        </w:rPr>
      </w:pPr>
      <w:r>
        <w:rPr>
          <w:rFonts w:ascii="宋体" w:hAnsi="宋体" w:eastAsia="宋体" w:cs="宋体"/>
          <w:color w:val="auto"/>
          <w:sz w:val="24"/>
          <w:szCs w:val="24"/>
          <w:highlight w:val="none"/>
          <w:u w:val="single"/>
        </w:rPr>
        <w:tab/>
      </w:r>
      <w:r>
        <w:rPr>
          <w:rFonts w:hint="eastAsia" w:ascii="宋体" w:hAnsi="宋体" w:eastAsia="宋体" w:cs="宋体"/>
          <w:color w:val="auto"/>
          <w:sz w:val="24"/>
          <w:szCs w:val="24"/>
          <w:highlight w:val="none"/>
        </w:rPr>
        <w:t>(招标代理机构名称)：</w:t>
      </w:r>
    </w:p>
    <w:p>
      <w:pPr>
        <w:spacing w:line="240" w:lineRule="auto"/>
        <w:ind w:firstLine="471"/>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我单位作为本次采购项目的投标人，根据招标文件要求，现郑重承诺如下：具备《中华人民共和国政府采购法》第二十二条第一款和本项目规定的条件：</w:t>
      </w:r>
    </w:p>
    <w:p>
      <w:pPr>
        <w:spacing w:line="240" w:lineRule="auto"/>
        <w:ind w:firstLine="471"/>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一) 具有独立承担民事责任的能力；</w:t>
      </w:r>
    </w:p>
    <w:p>
      <w:pPr>
        <w:spacing w:line="240" w:lineRule="auto"/>
        <w:ind w:firstLine="471"/>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(二) 具有良好的商业信誉和健全的财务会计制度；</w:t>
      </w:r>
    </w:p>
    <w:p>
      <w:pPr>
        <w:spacing w:line="240" w:lineRule="auto"/>
        <w:ind w:firstLine="471"/>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(三) 具有履行合同所必需的设备和专业技术能力；</w:t>
      </w:r>
    </w:p>
    <w:p>
      <w:pPr>
        <w:spacing w:line="240" w:lineRule="auto"/>
        <w:ind w:firstLine="471"/>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(四) 有依法缴纳税收和社会保障资金的良好记录；</w:t>
      </w:r>
    </w:p>
    <w:p>
      <w:pPr>
        <w:spacing w:line="240" w:lineRule="auto"/>
        <w:ind w:firstLine="471"/>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(五) 参加采购活动前三年内，在经营活动中没有重大违法记录；(公司成立不足三年</w:t>
      </w:r>
      <w:r>
        <w:rPr>
          <w:rFonts w:hint="eastAsia" w:ascii="宋体" w:hAnsi="宋体" w:eastAsia="宋体" w:cs="宋体"/>
          <w:color w:val="auto"/>
          <w:sz w:val="24"/>
          <w:szCs w:val="24"/>
          <w:highlight w:val="none"/>
          <w:lang w:eastAsia="zh-CN"/>
        </w:rPr>
        <w:t>的从</w:t>
      </w:r>
      <w:r>
        <w:rPr>
          <w:rFonts w:hint="eastAsia" w:ascii="宋体" w:hAnsi="宋体" w:eastAsia="宋体" w:cs="宋体"/>
          <w:color w:val="auto"/>
          <w:sz w:val="24"/>
          <w:szCs w:val="24"/>
          <w:highlight w:val="none"/>
        </w:rPr>
        <w:t>成立之日起算)</w:t>
      </w:r>
    </w:p>
    <w:p>
      <w:pPr>
        <w:spacing w:line="240" w:lineRule="auto"/>
        <w:ind w:firstLine="471"/>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(六) 法律、行政法规规定的其他条件；</w:t>
      </w:r>
    </w:p>
    <w:p>
      <w:pPr>
        <w:spacing w:line="240" w:lineRule="auto"/>
        <w:ind w:firstLine="471"/>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(七) 根据国务院办公厅关于加快推进“多证合一”改革的指导意见(国办发〔2017〕41号)等政策要求，若资格要求涉及的登记、备案等有关事项和各类证照已实行多证合一导致我方无法提供该类证明材料的，我方承诺满足招标文件资格要求。(此条针对资格要求如涉及的登记、备案等有关事项和各类证照已实行多证合一导致投标人无法提供该类证明材料的，投标人提供该承诺)</w:t>
      </w:r>
      <w:r>
        <w:rPr>
          <w:rFonts w:hint="eastAsia" w:ascii="宋体" w:hAnsi="宋体" w:eastAsia="宋体" w:cs="宋体"/>
          <w:color w:val="auto"/>
          <w:sz w:val="24"/>
          <w:szCs w:val="24"/>
          <w:highlight w:val="none"/>
          <w:lang w:eastAsia="zh-CN"/>
        </w:rPr>
        <w:t>。</w:t>
      </w:r>
    </w:p>
    <w:p>
      <w:pPr>
        <w:spacing w:line="240" w:lineRule="auto"/>
        <w:ind w:firstLine="471"/>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本单位对上述承诺的内容事项真实性负责。如经查实上述承诺的内容事项存在虚假，我单位愿意接受以提供虚假材料谋取中标追究法律责任。</w:t>
      </w:r>
    </w:p>
    <w:p>
      <w:pPr>
        <w:spacing w:before="1" w:line="240" w:lineRule="auto"/>
        <w:ind w:left="496"/>
        <w:rPr>
          <w:rFonts w:ascii="宋体" w:hAnsi="宋体" w:eastAsia="宋体" w:cs="宋体"/>
          <w:color w:val="auto"/>
          <w:sz w:val="24"/>
          <w:szCs w:val="24"/>
          <w:highlight w:val="none"/>
        </w:rPr>
      </w:pPr>
    </w:p>
    <w:p>
      <w:pPr>
        <w:spacing w:before="1" w:line="240" w:lineRule="auto"/>
        <w:ind w:left="496"/>
        <w:rPr>
          <w:rFonts w:ascii="宋体" w:hAnsi="宋体" w:eastAsia="宋体" w:cs="宋体"/>
          <w:color w:val="auto"/>
          <w:sz w:val="24"/>
          <w:szCs w:val="24"/>
          <w:highlight w:val="none"/>
        </w:rPr>
      </w:pPr>
    </w:p>
    <w:p>
      <w:pPr>
        <w:spacing w:before="1" w:line="240" w:lineRule="auto"/>
        <w:ind w:left="496"/>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投标人名称：</w:t>
      </w:r>
      <w:r>
        <w:rPr>
          <w:rFonts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(盖单位公章) </w:t>
      </w:r>
    </w:p>
    <w:p>
      <w:pPr>
        <w:spacing w:before="77" w:line="240" w:lineRule="auto"/>
        <w:ind w:left="494"/>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法定代表人/单位负责人或授权代表(签字或加盖个人名章) ：</w:t>
      </w:r>
      <w:r>
        <w:rPr>
          <w:rFonts w:ascii="宋体" w:hAnsi="宋体" w:eastAsia="宋体" w:cs="宋体"/>
          <w:color w:val="auto"/>
          <w:sz w:val="24"/>
          <w:szCs w:val="24"/>
          <w:highlight w:val="none"/>
          <w:u w:val="single"/>
        </w:rPr>
        <w:t xml:space="preserve">        </w:t>
      </w:r>
    </w:p>
    <w:p>
      <w:pPr>
        <w:spacing w:before="78" w:line="240" w:lineRule="auto"/>
        <w:ind w:left="535"/>
        <w:rPr>
          <w:rFonts w:ascii="宋体" w:hAnsi="宋体" w:eastAsia="宋体" w:cs="宋体"/>
          <w:color w:val="auto"/>
          <w:sz w:val="23"/>
          <w:szCs w:val="23"/>
          <w:highlight w:val="none"/>
        </w:rPr>
      </w:pPr>
      <w:r>
        <w:rPr>
          <w:rFonts w:hint="eastAsia" w:ascii="宋体" w:hAnsi="宋体" w:eastAsia="宋体" w:cs="宋体"/>
          <w:color w:val="auto"/>
          <w:sz w:val="24"/>
          <w:szCs w:val="24"/>
          <w:highlight w:val="none"/>
        </w:rPr>
        <w:t>日    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pPr>
        <w:spacing w:line="240" w:lineRule="auto"/>
        <w:rPr>
          <w:color w:val="auto"/>
          <w:highlight w:val="none"/>
        </w:rPr>
        <w:sectPr>
          <w:headerReference r:id="rId13" w:type="default"/>
          <w:footerReference r:id="rId14" w:type="default"/>
          <w:pgSz w:w="11905" w:h="16838"/>
          <w:pgMar w:top="1417" w:right="1417" w:bottom="1417" w:left="1417" w:header="0" w:footer="1134" w:gutter="0"/>
          <w:cols w:space="425" w:num="1"/>
        </w:sectPr>
      </w:pPr>
    </w:p>
    <w:p>
      <w:pPr>
        <w:spacing w:before="41" w:line="240" w:lineRule="auto"/>
        <w:ind w:firstLine="0"/>
        <w:textAlignment w:val="center"/>
        <w:rPr>
          <w:color w:val="auto"/>
          <w:highlight w:val="none"/>
        </w:rPr>
      </w:pPr>
    </w:p>
    <w:p>
      <w:pPr>
        <w:numPr>
          <w:ilvl w:val="255"/>
          <w:numId w:val="0"/>
        </w:numPr>
        <w:spacing w:before="0" w:line="240" w:lineRule="auto"/>
        <w:ind w:right="0"/>
        <w:outlineLvl w:val="9"/>
        <w:rPr>
          <w:rFonts w:ascii="宋体" w:hAnsi="宋体" w:eastAsia="宋体" w:cs="宋体"/>
          <w:b/>
          <w:bCs/>
          <w:color w:val="auto"/>
          <w:sz w:val="32"/>
          <w:szCs w:val="32"/>
          <w:highlight w:val="none"/>
        </w:rPr>
      </w:pPr>
      <w:bookmarkStart w:id="116" w:name="_Toc13627"/>
      <w:bookmarkStart w:id="117" w:name="_Toc1481"/>
      <w:r>
        <w:rPr>
          <w:rFonts w:hint="eastAsia" w:ascii="宋体" w:hAnsi="宋体" w:eastAsia="宋体" w:cs="宋体"/>
          <w:b/>
          <w:bCs/>
          <w:color w:val="auto"/>
          <w:sz w:val="32"/>
          <w:szCs w:val="32"/>
          <w:highlight w:val="none"/>
        </w:rPr>
        <w:t>三、具有独立承担民事责任能力的证明材料</w:t>
      </w:r>
      <w:bookmarkEnd w:id="116"/>
      <w:bookmarkEnd w:id="117"/>
      <w:r>
        <w:rPr>
          <w:rFonts w:hint="eastAsia" w:ascii="宋体" w:hAnsi="宋体" w:eastAsia="宋体" w:cs="宋体"/>
          <w:b/>
          <w:bCs/>
          <w:color w:val="auto"/>
          <w:sz w:val="32"/>
          <w:szCs w:val="32"/>
          <w:highlight w:val="none"/>
        </w:rPr>
        <w:t xml:space="preserve"> </w:t>
      </w:r>
    </w:p>
    <w:p>
      <w:pPr>
        <w:spacing w:before="3" w:line="240" w:lineRule="auto"/>
        <w:ind w:right="13"/>
        <w:jc w:val="center"/>
        <w:rPr>
          <w:rFonts w:ascii="宋体" w:hAnsi="宋体" w:eastAsia="宋体" w:cs="宋体"/>
          <w:b/>
          <w:bCs/>
          <w:color w:val="auto"/>
          <w:sz w:val="32"/>
          <w:szCs w:val="32"/>
          <w:highlight w:val="none"/>
        </w:rPr>
      </w:pPr>
      <w:r>
        <w:rPr>
          <w:rFonts w:hint="eastAsia" w:ascii="宋体" w:hAnsi="宋体" w:eastAsia="宋体" w:cs="宋体"/>
          <w:color w:val="auto"/>
          <w:sz w:val="24"/>
          <w:szCs w:val="24"/>
          <w:highlight w:val="none"/>
        </w:rPr>
        <w:t>(根据招标文件第五章要求提供)</w:t>
      </w:r>
    </w:p>
    <w:p>
      <w:pPr>
        <w:spacing w:before="3" w:line="240" w:lineRule="auto"/>
        <w:ind w:right="13"/>
        <w:jc w:val="center"/>
        <w:rPr>
          <w:rFonts w:ascii="宋体" w:hAnsi="宋体" w:eastAsia="宋体" w:cs="宋体"/>
          <w:b/>
          <w:bCs/>
          <w:color w:val="auto"/>
          <w:sz w:val="32"/>
          <w:szCs w:val="32"/>
          <w:highlight w:val="none"/>
        </w:rPr>
      </w:pPr>
    </w:p>
    <w:p>
      <w:pPr>
        <w:spacing w:before="3" w:line="240" w:lineRule="auto"/>
        <w:ind w:right="13"/>
        <w:jc w:val="both"/>
        <w:outlineLvl w:val="9"/>
        <w:rPr>
          <w:rFonts w:ascii="宋体" w:hAnsi="宋体" w:eastAsia="宋体" w:cs="宋体"/>
          <w:b/>
          <w:bCs/>
          <w:color w:val="auto"/>
          <w:sz w:val="32"/>
          <w:szCs w:val="32"/>
          <w:highlight w:val="none"/>
        </w:rPr>
      </w:pPr>
      <w:bookmarkStart w:id="118" w:name="_Toc11241"/>
      <w:bookmarkStart w:id="119" w:name="_Toc21705"/>
      <w:r>
        <w:rPr>
          <w:rFonts w:hint="eastAsia" w:ascii="宋体" w:hAnsi="宋体" w:eastAsia="宋体" w:cs="宋体"/>
          <w:b/>
          <w:bCs/>
          <w:color w:val="auto"/>
          <w:sz w:val="32"/>
          <w:szCs w:val="32"/>
          <w:highlight w:val="none"/>
        </w:rPr>
        <w:t>四、具有商业信誉和健全的财务会计制度的证明材料</w:t>
      </w:r>
      <w:bookmarkEnd w:id="118"/>
      <w:bookmarkEnd w:id="119"/>
      <w:r>
        <w:rPr>
          <w:rFonts w:hint="eastAsia" w:ascii="宋体" w:hAnsi="宋体" w:eastAsia="宋体" w:cs="宋体"/>
          <w:b/>
          <w:bCs/>
          <w:color w:val="auto"/>
          <w:sz w:val="32"/>
          <w:szCs w:val="32"/>
          <w:highlight w:val="none"/>
        </w:rPr>
        <w:t xml:space="preserve"> </w:t>
      </w:r>
    </w:p>
    <w:p>
      <w:pPr>
        <w:spacing w:before="3" w:line="240" w:lineRule="auto"/>
        <w:ind w:right="13"/>
        <w:jc w:val="center"/>
        <w:rPr>
          <w:rFonts w:ascii="宋体" w:hAnsi="宋体" w:eastAsia="宋体" w:cs="宋体"/>
          <w:b/>
          <w:bCs/>
          <w:color w:val="auto"/>
          <w:sz w:val="32"/>
          <w:szCs w:val="32"/>
          <w:highlight w:val="none"/>
        </w:rPr>
      </w:pPr>
      <w:r>
        <w:rPr>
          <w:rFonts w:hint="eastAsia" w:ascii="宋体" w:hAnsi="宋体" w:eastAsia="宋体" w:cs="宋体"/>
          <w:color w:val="auto"/>
          <w:sz w:val="24"/>
          <w:szCs w:val="24"/>
          <w:highlight w:val="none"/>
        </w:rPr>
        <w:t>(根据招标文件第五章要求提供)</w:t>
      </w:r>
    </w:p>
    <w:p>
      <w:pPr>
        <w:spacing w:line="240" w:lineRule="auto"/>
        <w:rPr>
          <w:color w:val="auto"/>
          <w:highlight w:val="none"/>
        </w:rPr>
      </w:pPr>
    </w:p>
    <w:p>
      <w:pPr>
        <w:spacing w:before="3" w:line="240" w:lineRule="auto"/>
        <w:ind w:right="13"/>
        <w:jc w:val="center"/>
        <w:outlineLvl w:val="9"/>
        <w:rPr>
          <w:rFonts w:ascii="宋体" w:hAnsi="宋体" w:eastAsia="宋体" w:cs="宋体"/>
          <w:b/>
          <w:bCs/>
          <w:color w:val="auto"/>
          <w:sz w:val="32"/>
          <w:szCs w:val="32"/>
          <w:highlight w:val="none"/>
        </w:rPr>
      </w:pPr>
      <w:bookmarkStart w:id="120" w:name="_Toc272"/>
      <w:bookmarkStart w:id="121" w:name="_Toc21468"/>
      <w:r>
        <w:rPr>
          <w:rFonts w:hint="eastAsia" w:ascii="宋体" w:hAnsi="宋体" w:eastAsia="宋体" w:cs="宋体"/>
          <w:b/>
          <w:bCs/>
          <w:color w:val="auto"/>
          <w:sz w:val="32"/>
          <w:szCs w:val="32"/>
          <w:highlight w:val="none"/>
        </w:rPr>
        <w:t xml:space="preserve">五、提供具有履行合同所必需的设备和专业技术能力的证明材料 </w:t>
      </w:r>
      <w:r>
        <w:rPr>
          <w:rFonts w:hint="eastAsia" w:ascii="宋体" w:hAnsi="宋体" w:eastAsia="宋体" w:cs="宋体"/>
          <w:color w:val="auto"/>
          <w:sz w:val="24"/>
          <w:szCs w:val="24"/>
          <w:highlight w:val="none"/>
        </w:rPr>
        <w:t>(根据招标文件第五章要求提供)</w:t>
      </w:r>
      <w:bookmarkEnd w:id="120"/>
      <w:bookmarkEnd w:id="121"/>
    </w:p>
    <w:p>
      <w:pPr>
        <w:spacing w:line="240" w:lineRule="auto"/>
        <w:rPr>
          <w:color w:val="auto"/>
          <w:highlight w:val="none"/>
        </w:rPr>
      </w:pPr>
    </w:p>
    <w:p>
      <w:pPr>
        <w:spacing w:before="3" w:line="240" w:lineRule="auto"/>
        <w:ind w:right="13"/>
        <w:jc w:val="both"/>
        <w:outlineLvl w:val="9"/>
        <w:rPr>
          <w:rFonts w:ascii="宋体" w:hAnsi="宋体" w:eastAsia="宋体" w:cs="宋体"/>
          <w:b/>
          <w:bCs/>
          <w:color w:val="auto"/>
          <w:sz w:val="32"/>
          <w:szCs w:val="32"/>
          <w:highlight w:val="none"/>
        </w:rPr>
      </w:pPr>
      <w:bookmarkStart w:id="122" w:name="_Toc3675"/>
      <w:bookmarkStart w:id="123" w:name="_Toc13755"/>
      <w:r>
        <w:rPr>
          <w:rFonts w:hint="eastAsia" w:ascii="宋体" w:hAnsi="宋体" w:eastAsia="宋体" w:cs="宋体"/>
          <w:b/>
          <w:bCs/>
          <w:color w:val="auto"/>
          <w:sz w:val="32"/>
          <w:szCs w:val="32"/>
          <w:highlight w:val="none"/>
        </w:rPr>
        <w:t>六、有依法缴纳税收和社会保障资金的良好记录的证明材料</w:t>
      </w:r>
      <w:bookmarkEnd w:id="122"/>
      <w:bookmarkEnd w:id="123"/>
    </w:p>
    <w:p>
      <w:pPr>
        <w:spacing w:before="3" w:line="240" w:lineRule="auto"/>
        <w:ind w:right="13"/>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(根据招标文件第五章要求提供)</w:t>
      </w:r>
    </w:p>
    <w:p>
      <w:pPr>
        <w:pStyle w:val="2"/>
        <w:spacing w:line="240" w:lineRule="auto"/>
        <w:rPr>
          <w:color w:val="auto"/>
          <w:highlight w:val="none"/>
        </w:rPr>
      </w:pPr>
    </w:p>
    <w:p>
      <w:pPr>
        <w:spacing w:before="3" w:line="240" w:lineRule="auto"/>
        <w:ind w:right="13"/>
        <w:jc w:val="both"/>
        <w:outlineLvl w:val="9"/>
        <w:rPr>
          <w:rFonts w:ascii="宋体" w:hAnsi="宋体" w:eastAsia="宋体" w:cs="宋体"/>
          <w:b/>
          <w:bCs/>
          <w:color w:val="auto"/>
          <w:sz w:val="32"/>
          <w:szCs w:val="32"/>
          <w:highlight w:val="none"/>
        </w:rPr>
      </w:pPr>
      <w:bookmarkStart w:id="124" w:name="_Toc22346"/>
      <w:bookmarkStart w:id="125" w:name="_Toc18660"/>
      <w:r>
        <w:rPr>
          <w:rFonts w:hint="eastAsia" w:ascii="宋体" w:hAnsi="宋体" w:eastAsia="宋体" w:cs="宋体"/>
          <w:b/>
          <w:bCs/>
          <w:color w:val="auto"/>
          <w:sz w:val="32"/>
          <w:szCs w:val="32"/>
          <w:highlight w:val="none"/>
        </w:rPr>
        <w:t>七、参加本次采购活动前三年内，在经营活动中没有重大违法记录的证明材料</w:t>
      </w:r>
      <w:bookmarkEnd w:id="124"/>
      <w:bookmarkEnd w:id="125"/>
      <w:r>
        <w:rPr>
          <w:rFonts w:hint="eastAsia" w:ascii="宋体" w:hAnsi="宋体" w:eastAsia="宋体" w:cs="宋体"/>
          <w:b/>
          <w:bCs/>
          <w:color w:val="auto"/>
          <w:sz w:val="32"/>
          <w:szCs w:val="32"/>
          <w:highlight w:val="none"/>
        </w:rPr>
        <w:t xml:space="preserve"> </w:t>
      </w:r>
    </w:p>
    <w:p>
      <w:pPr>
        <w:spacing w:before="3" w:line="240" w:lineRule="auto"/>
        <w:ind w:right="13"/>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(根据招标文件第五章要求提供)</w:t>
      </w:r>
    </w:p>
    <w:p>
      <w:pPr>
        <w:pStyle w:val="2"/>
        <w:spacing w:line="240" w:lineRule="auto"/>
        <w:rPr>
          <w:color w:val="auto"/>
          <w:highlight w:val="none"/>
        </w:rPr>
      </w:pPr>
    </w:p>
    <w:p>
      <w:pPr>
        <w:spacing w:before="3" w:line="240" w:lineRule="auto"/>
        <w:ind w:right="13"/>
        <w:jc w:val="both"/>
        <w:outlineLvl w:val="9"/>
        <w:rPr>
          <w:rFonts w:ascii="宋体" w:hAnsi="宋体" w:eastAsia="宋体" w:cs="宋体"/>
          <w:b/>
          <w:bCs/>
          <w:color w:val="auto"/>
          <w:sz w:val="32"/>
          <w:szCs w:val="32"/>
          <w:highlight w:val="none"/>
        </w:rPr>
      </w:pPr>
      <w:bookmarkStart w:id="126" w:name="_Toc21320"/>
      <w:bookmarkStart w:id="127" w:name="_Toc29820"/>
      <w:r>
        <w:rPr>
          <w:rFonts w:hint="eastAsia" w:ascii="宋体" w:hAnsi="宋体" w:eastAsia="宋体" w:cs="宋体"/>
          <w:b/>
          <w:bCs/>
          <w:color w:val="auto"/>
          <w:sz w:val="32"/>
          <w:szCs w:val="32"/>
          <w:highlight w:val="none"/>
        </w:rPr>
        <w:t>八、具备法律、行政法规规定的其他条件的承诺函</w:t>
      </w:r>
      <w:bookmarkEnd w:id="126"/>
      <w:bookmarkEnd w:id="127"/>
      <w:r>
        <w:rPr>
          <w:rFonts w:hint="eastAsia" w:ascii="宋体" w:hAnsi="宋体" w:eastAsia="宋体" w:cs="宋体"/>
          <w:b/>
          <w:bCs/>
          <w:color w:val="auto"/>
          <w:sz w:val="32"/>
          <w:szCs w:val="32"/>
          <w:highlight w:val="none"/>
        </w:rPr>
        <w:t xml:space="preserve"> </w:t>
      </w:r>
    </w:p>
    <w:p>
      <w:pPr>
        <w:spacing w:before="3" w:line="240" w:lineRule="auto"/>
        <w:ind w:right="13"/>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(根据招标文件第五章要求提供)</w:t>
      </w:r>
    </w:p>
    <w:p>
      <w:pPr>
        <w:spacing w:line="240" w:lineRule="auto"/>
        <w:rPr>
          <w:color w:val="auto"/>
          <w:highlight w:val="none"/>
        </w:rPr>
      </w:pPr>
    </w:p>
    <w:p>
      <w:pPr>
        <w:spacing w:before="3" w:line="240" w:lineRule="auto"/>
        <w:ind w:right="13"/>
        <w:jc w:val="both"/>
        <w:outlineLvl w:val="9"/>
        <w:rPr>
          <w:color w:val="auto"/>
          <w:highlight w:val="none"/>
        </w:rPr>
      </w:pPr>
      <w:bookmarkStart w:id="128" w:name="_Toc5524"/>
      <w:bookmarkStart w:id="129" w:name="_Toc24048"/>
      <w:r>
        <w:rPr>
          <w:rFonts w:hint="eastAsia" w:ascii="宋体" w:hAnsi="宋体" w:eastAsia="宋体" w:cs="宋体"/>
          <w:b/>
          <w:bCs/>
          <w:color w:val="auto"/>
          <w:sz w:val="32"/>
          <w:szCs w:val="32"/>
          <w:highlight w:val="none"/>
        </w:rPr>
        <w:t>九、第五章规定的其他相关证明材料 (格式自拟) ……</w:t>
      </w:r>
      <w:bookmarkEnd w:id="128"/>
      <w:bookmarkEnd w:id="129"/>
      <w:r>
        <w:rPr>
          <w:color w:val="auto"/>
          <w:highlight w:val="none"/>
        </w:rPr>
        <w:br w:type="page"/>
      </w:r>
    </w:p>
    <w:p>
      <w:pPr>
        <w:spacing w:before="59" w:line="240" w:lineRule="auto"/>
        <w:ind w:left="2601"/>
        <w:outlineLvl w:val="9"/>
        <w:rPr>
          <w:rFonts w:ascii="宋体" w:hAnsi="宋体" w:eastAsia="宋体" w:cs="宋体"/>
          <w:color w:val="auto"/>
          <w:sz w:val="28"/>
          <w:szCs w:val="28"/>
          <w:highlight w:val="none"/>
        </w:rPr>
      </w:pPr>
      <w:r>
        <w:rPr>
          <w:rFonts w:hint="eastAsia" w:ascii="宋体" w:hAnsi="宋体" w:eastAsia="宋体" w:cs="宋体"/>
          <w:b/>
          <w:bCs/>
          <w:color w:val="auto"/>
          <w:sz w:val="32"/>
          <w:szCs w:val="32"/>
          <w:highlight w:val="none"/>
        </w:rPr>
        <w:t>其他</w:t>
      </w:r>
      <w:bookmarkStart w:id="130" w:name="_Toc8237"/>
      <w:bookmarkStart w:id="131" w:name="_Toc26162"/>
      <w:r>
        <w:rPr>
          <w:rFonts w:hint="eastAsia" w:ascii="宋体" w:hAnsi="宋体" w:eastAsia="宋体" w:cs="宋体"/>
          <w:b/>
          <w:bCs/>
          <w:color w:val="auto"/>
          <w:sz w:val="32"/>
          <w:szCs w:val="32"/>
          <w:highlight w:val="none"/>
        </w:rPr>
        <w:t>响应性投标文件封面</w:t>
      </w:r>
      <w:bookmarkEnd w:id="130"/>
      <w:bookmarkEnd w:id="131"/>
    </w:p>
    <w:p>
      <w:pPr>
        <w:spacing w:line="240" w:lineRule="auto"/>
        <w:rPr>
          <w:color w:val="auto"/>
          <w:highlight w:val="none"/>
        </w:rPr>
      </w:pPr>
    </w:p>
    <w:p>
      <w:pPr>
        <w:spacing w:line="240" w:lineRule="auto"/>
        <w:rPr>
          <w:color w:val="auto"/>
          <w:highlight w:val="none"/>
        </w:rPr>
      </w:pPr>
    </w:p>
    <w:p>
      <w:pPr>
        <w:spacing w:line="240" w:lineRule="auto"/>
        <w:rPr>
          <w:color w:val="auto"/>
          <w:highlight w:val="none"/>
        </w:rPr>
      </w:pPr>
    </w:p>
    <w:p>
      <w:pPr>
        <w:spacing w:line="240" w:lineRule="auto"/>
        <w:rPr>
          <w:color w:val="auto"/>
          <w:highlight w:val="none"/>
        </w:rPr>
      </w:pPr>
    </w:p>
    <w:p>
      <w:pPr>
        <w:spacing w:line="240" w:lineRule="auto"/>
        <w:rPr>
          <w:color w:val="auto"/>
          <w:highlight w:val="none"/>
        </w:rPr>
      </w:pPr>
    </w:p>
    <w:p>
      <w:pPr>
        <w:spacing w:line="240" w:lineRule="auto"/>
        <w:rPr>
          <w:color w:val="auto"/>
          <w:highlight w:val="none"/>
        </w:rPr>
      </w:pPr>
    </w:p>
    <w:tbl>
      <w:tblPr>
        <w:tblStyle w:val="23"/>
        <w:tblW w:w="1640" w:type="dxa"/>
        <w:tblInd w:w="6543"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1640"/>
      </w:tblGrid>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476" w:hRule="atLeast"/>
        </w:trPr>
        <w:tc>
          <w:tcPr>
            <w:tcW w:w="1640" w:type="dxa"/>
          </w:tcPr>
          <w:p>
            <w:pPr>
              <w:spacing w:before="58" w:line="240" w:lineRule="auto"/>
              <w:ind w:left="206"/>
              <w:rPr>
                <w:rFonts w:ascii="宋体" w:hAnsi="宋体" w:eastAsia="宋体" w:cs="宋体"/>
                <w:color w:val="auto"/>
                <w:sz w:val="35"/>
                <w:szCs w:val="35"/>
                <w:highlight w:val="none"/>
              </w:rPr>
            </w:pPr>
            <w:r>
              <w:rPr>
                <w:rFonts w:hint="eastAsia" w:ascii="宋体" w:hAnsi="宋体" w:eastAsia="宋体" w:cs="宋体"/>
                <w:b/>
                <w:bCs/>
                <w:color w:val="auto"/>
                <w:sz w:val="32"/>
                <w:szCs w:val="32"/>
                <w:highlight w:val="none"/>
              </w:rPr>
              <w:t>正/副 本</w:t>
            </w:r>
          </w:p>
        </w:tc>
      </w:tr>
    </w:tbl>
    <w:p>
      <w:pPr>
        <w:spacing w:line="240" w:lineRule="auto"/>
        <w:rPr>
          <w:color w:val="auto"/>
          <w:highlight w:val="none"/>
        </w:rPr>
      </w:pPr>
    </w:p>
    <w:p>
      <w:pPr>
        <w:spacing w:before="3" w:line="240" w:lineRule="auto"/>
        <w:ind w:right="13"/>
        <w:jc w:val="center"/>
        <w:rPr>
          <w:rFonts w:ascii="宋体" w:hAnsi="宋体" w:eastAsia="宋体" w:cs="宋体"/>
          <w:b/>
          <w:bCs/>
          <w:color w:val="auto"/>
          <w:sz w:val="44"/>
          <w:szCs w:val="44"/>
          <w:highlight w:val="none"/>
        </w:rPr>
      </w:pPr>
    </w:p>
    <w:p>
      <w:pPr>
        <w:spacing w:before="3" w:line="240" w:lineRule="auto"/>
        <w:ind w:right="13"/>
        <w:jc w:val="center"/>
        <w:outlineLvl w:val="1"/>
        <w:rPr>
          <w:rFonts w:ascii="宋体" w:hAnsi="宋体" w:eastAsia="宋体" w:cs="宋体"/>
          <w:b/>
          <w:bCs/>
          <w:color w:val="auto"/>
          <w:sz w:val="44"/>
          <w:szCs w:val="44"/>
          <w:highlight w:val="none"/>
        </w:rPr>
      </w:pPr>
      <w:bookmarkStart w:id="132" w:name="_Toc21452"/>
      <w:bookmarkStart w:id="133" w:name="_Toc4716"/>
      <w:r>
        <w:rPr>
          <w:rFonts w:hint="eastAsia" w:ascii="宋体" w:hAnsi="宋体" w:eastAsia="宋体" w:cs="宋体"/>
          <w:b/>
          <w:bCs/>
          <w:color w:val="auto"/>
          <w:sz w:val="44"/>
          <w:szCs w:val="44"/>
          <w:highlight w:val="none"/>
        </w:rPr>
        <w:t>第二部分：其他响应性投标文件</w:t>
      </w:r>
      <w:bookmarkEnd w:id="132"/>
      <w:bookmarkEnd w:id="133"/>
    </w:p>
    <w:p>
      <w:pPr>
        <w:spacing w:line="240" w:lineRule="auto"/>
        <w:rPr>
          <w:color w:val="auto"/>
          <w:highlight w:val="none"/>
        </w:rPr>
      </w:pPr>
    </w:p>
    <w:p>
      <w:pPr>
        <w:spacing w:line="240" w:lineRule="auto"/>
        <w:rPr>
          <w:color w:val="auto"/>
          <w:highlight w:val="none"/>
        </w:rPr>
      </w:pPr>
    </w:p>
    <w:p>
      <w:pPr>
        <w:spacing w:line="240" w:lineRule="auto"/>
        <w:rPr>
          <w:color w:val="auto"/>
          <w:highlight w:val="none"/>
        </w:rPr>
      </w:pPr>
    </w:p>
    <w:p>
      <w:pPr>
        <w:pStyle w:val="2"/>
        <w:spacing w:line="240" w:lineRule="auto"/>
        <w:rPr>
          <w:color w:val="auto"/>
          <w:highlight w:val="none"/>
        </w:rPr>
      </w:pPr>
    </w:p>
    <w:p>
      <w:pPr>
        <w:spacing w:line="240" w:lineRule="auto"/>
        <w:rPr>
          <w:color w:val="auto"/>
          <w:highlight w:val="none"/>
        </w:rPr>
      </w:pPr>
    </w:p>
    <w:p>
      <w:pPr>
        <w:spacing w:line="240" w:lineRule="auto"/>
        <w:rPr>
          <w:color w:val="auto"/>
          <w:highlight w:val="none"/>
        </w:rPr>
      </w:pPr>
    </w:p>
    <w:p>
      <w:pPr>
        <w:spacing w:before="3" w:line="240" w:lineRule="auto"/>
        <w:ind w:left="23" w:right="13" w:firstLine="482"/>
        <w:jc w:val="both"/>
        <w:rPr>
          <w:rFonts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采购项目名称：</w:t>
      </w:r>
      <w:r>
        <w:rPr>
          <w:rFonts w:hint="eastAsia" w:ascii="宋体" w:hAnsi="宋体" w:eastAsia="宋体" w:cs="宋体"/>
          <w:b/>
          <w:bCs/>
          <w:color w:val="auto"/>
          <w:sz w:val="32"/>
          <w:szCs w:val="32"/>
          <w:highlight w:val="none"/>
          <w:u w:val="single"/>
        </w:rPr>
        <w:t xml:space="preserve">                </w:t>
      </w:r>
      <w:r>
        <w:rPr>
          <w:rFonts w:hint="eastAsia" w:ascii="宋体" w:hAnsi="宋体" w:eastAsia="宋体" w:cs="宋体"/>
          <w:b/>
          <w:bCs/>
          <w:color w:val="auto"/>
          <w:sz w:val="32"/>
          <w:szCs w:val="32"/>
          <w:highlight w:val="none"/>
        </w:rPr>
        <w:t xml:space="preserve">                     </w:t>
      </w:r>
    </w:p>
    <w:p>
      <w:pPr>
        <w:spacing w:before="3" w:line="240" w:lineRule="auto"/>
        <w:ind w:left="23" w:right="13" w:firstLine="482"/>
        <w:jc w:val="both"/>
        <w:rPr>
          <w:rFonts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lang w:val="en-US" w:eastAsia="zh-CN"/>
        </w:rPr>
        <w:t>招标</w:t>
      </w:r>
      <w:r>
        <w:rPr>
          <w:rFonts w:hint="eastAsia" w:ascii="宋体" w:hAnsi="宋体" w:eastAsia="宋体" w:cs="宋体"/>
          <w:b/>
          <w:bCs/>
          <w:color w:val="auto"/>
          <w:sz w:val="32"/>
          <w:szCs w:val="32"/>
          <w:highlight w:val="none"/>
        </w:rPr>
        <w:t>文件编号：</w:t>
      </w:r>
      <w:r>
        <w:rPr>
          <w:rFonts w:hint="eastAsia" w:ascii="宋体" w:hAnsi="宋体" w:eastAsia="宋体" w:cs="宋体"/>
          <w:b/>
          <w:bCs/>
          <w:color w:val="auto"/>
          <w:sz w:val="32"/>
          <w:szCs w:val="32"/>
          <w:highlight w:val="none"/>
          <w:u w:val="single"/>
        </w:rPr>
        <w:t xml:space="preserve">                </w:t>
      </w:r>
      <w:r>
        <w:rPr>
          <w:rFonts w:hint="eastAsia" w:ascii="宋体" w:hAnsi="宋体" w:eastAsia="宋体" w:cs="宋体"/>
          <w:b/>
          <w:bCs/>
          <w:color w:val="auto"/>
          <w:sz w:val="32"/>
          <w:szCs w:val="32"/>
          <w:highlight w:val="none"/>
        </w:rPr>
        <w:t xml:space="preserve">  </w:t>
      </w:r>
    </w:p>
    <w:p>
      <w:pPr>
        <w:spacing w:before="3" w:line="240" w:lineRule="auto"/>
        <w:ind w:left="23" w:right="13" w:firstLine="482"/>
        <w:jc w:val="both"/>
        <w:rPr>
          <w:rFonts w:ascii="宋体" w:hAnsi="宋体" w:eastAsia="宋体" w:cs="宋体"/>
          <w:b/>
          <w:bCs/>
          <w:color w:val="auto"/>
          <w:spacing w:val="18"/>
          <w:sz w:val="32"/>
          <w:szCs w:val="32"/>
          <w:highlight w:val="none"/>
        </w:rPr>
      </w:pPr>
      <w:r>
        <w:rPr>
          <w:rFonts w:hint="eastAsia" w:ascii="宋体" w:hAnsi="宋体" w:eastAsia="宋体" w:cs="宋体"/>
          <w:b/>
          <w:bCs/>
          <w:color w:val="auto"/>
          <w:sz w:val="32"/>
          <w:szCs w:val="32"/>
          <w:highlight w:val="none"/>
        </w:rPr>
        <w:t>投标人名称(盖单位公章) ：</w:t>
      </w:r>
      <w:r>
        <w:rPr>
          <w:rFonts w:hint="eastAsia" w:ascii="宋体" w:hAnsi="宋体" w:eastAsia="宋体" w:cs="宋体"/>
          <w:b/>
          <w:bCs/>
          <w:color w:val="auto"/>
          <w:spacing w:val="18"/>
          <w:sz w:val="32"/>
          <w:szCs w:val="32"/>
          <w:highlight w:val="none"/>
          <w:u w:val="single"/>
        </w:rPr>
        <w:t xml:space="preserve">           </w:t>
      </w:r>
      <w:r>
        <w:rPr>
          <w:rFonts w:hint="eastAsia" w:ascii="宋体" w:hAnsi="宋体" w:eastAsia="宋体" w:cs="宋体"/>
          <w:b/>
          <w:bCs/>
          <w:color w:val="auto"/>
          <w:spacing w:val="18"/>
          <w:sz w:val="32"/>
          <w:szCs w:val="32"/>
          <w:highlight w:val="none"/>
        </w:rPr>
        <w:t xml:space="preserve">              </w:t>
      </w:r>
    </w:p>
    <w:p>
      <w:pPr>
        <w:spacing w:before="3" w:line="240" w:lineRule="auto"/>
        <w:ind w:left="23" w:right="13" w:firstLine="482"/>
        <w:jc w:val="both"/>
        <w:rPr>
          <w:rFonts w:ascii="宋体" w:hAnsi="宋体" w:eastAsia="宋体" w:cs="宋体"/>
          <w:b/>
          <w:bCs/>
          <w:color w:val="auto"/>
          <w:spacing w:val="18"/>
          <w:sz w:val="32"/>
          <w:szCs w:val="32"/>
          <w:highlight w:val="none"/>
        </w:rPr>
      </w:pPr>
      <w:r>
        <w:rPr>
          <w:rFonts w:hint="eastAsia" w:ascii="宋体" w:hAnsi="宋体" w:eastAsia="宋体" w:cs="宋体"/>
          <w:b/>
          <w:bCs/>
          <w:color w:val="auto"/>
          <w:spacing w:val="18"/>
          <w:sz w:val="32"/>
          <w:szCs w:val="32"/>
          <w:highlight w:val="none"/>
        </w:rPr>
        <w:t xml:space="preserve">                                  </w:t>
      </w:r>
    </w:p>
    <w:p>
      <w:pPr>
        <w:spacing w:before="3" w:line="240" w:lineRule="auto"/>
        <w:ind w:left="23" w:right="13" w:firstLine="482"/>
        <w:jc w:val="center"/>
        <w:rPr>
          <w:rFonts w:ascii="宋体" w:hAnsi="宋体" w:eastAsia="宋体" w:cs="宋体"/>
          <w:b/>
          <w:bCs/>
          <w:color w:val="auto"/>
          <w:spacing w:val="18"/>
          <w:sz w:val="32"/>
          <w:szCs w:val="32"/>
          <w:highlight w:val="none"/>
        </w:rPr>
      </w:pPr>
    </w:p>
    <w:p>
      <w:pPr>
        <w:spacing w:before="3" w:line="240" w:lineRule="auto"/>
        <w:ind w:left="23" w:right="13" w:firstLine="482"/>
        <w:jc w:val="center"/>
        <w:rPr>
          <w:rFonts w:ascii="宋体" w:hAnsi="宋体" w:eastAsia="宋体" w:cs="宋体"/>
          <w:b/>
          <w:bCs/>
          <w:color w:val="auto"/>
          <w:spacing w:val="18"/>
          <w:sz w:val="32"/>
          <w:szCs w:val="32"/>
          <w:highlight w:val="none"/>
        </w:rPr>
      </w:pPr>
    </w:p>
    <w:p>
      <w:pPr>
        <w:spacing w:before="3" w:line="240" w:lineRule="auto"/>
        <w:ind w:left="23" w:right="13" w:firstLine="1057" w:firstLineChars="329"/>
        <w:jc w:val="both"/>
        <w:rPr>
          <w:rFonts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日    期 ：</w:t>
      </w:r>
      <w:r>
        <w:rPr>
          <w:rFonts w:hint="eastAsia" w:ascii="宋体" w:hAnsi="宋体" w:eastAsia="宋体" w:cs="宋体"/>
          <w:b/>
          <w:bCs/>
          <w:color w:val="auto"/>
          <w:sz w:val="32"/>
          <w:szCs w:val="32"/>
          <w:highlight w:val="none"/>
          <w:u w:val="single"/>
        </w:rPr>
        <w:t xml:space="preserve">       </w:t>
      </w:r>
      <w:r>
        <w:rPr>
          <w:rFonts w:hint="eastAsia" w:ascii="宋体" w:hAnsi="宋体" w:eastAsia="宋体" w:cs="宋体"/>
          <w:b/>
          <w:bCs/>
          <w:color w:val="auto"/>
          <w:sz w:val="32"/>
          <w:szCs w:val="32"/>
          <w:highlight w:val="none"/>
        </w:rPr>
        <w:t>年</w:t>
      </w:r>
      <w:r>
        <w:rPr>
          <w:rFonts w:hint="eastAsia" w:ascii="宋体" w:hAnsi="宋体" w:eastAsia="宋体" w:cs="宋体"/>
          <w:b/>
          <w:bCs/>
          <w:color w:val="auto"/>
          <w:sz w:val="32"/>
          <w:szCs w:val="32"/>
          <w:highlight w:val="none"/>
          <w:u w:val="single"/>
        </w:rPr>
        <w:t xml:space="preserve">    </w:t>
      </w:r>
      <w:r>
        <w:rPr>
          <w:rFonts w:hint="eastAsia" w:ascii="宋体" w:hAnsi="宋体" w:eastAsia="宋体" w:cs="宋体"/>
          <w:b/>
          <w:bCs/>
          <w:color w:val="auto"/>
          <w:sz w:val="32"/>
          <w:szCs w:val="32"/>
          <w:highlight w:val="none"/>
        </w:rPr>
        <w:t>月</w:t>
      </w:r>
      <w:r>
        <w:rPr>
          <w:rFonts w:hint="eastAsia" w:ascii="宋体" w:hAnsi="宋体" w:eastAsia="宋体" w:cs="宋体"/>
          <w:b/>
          <w:bCs/>
          <w:color w:val="auto"/>
          <w:sz w:val="32"/>
          <w:szCs w:val="32"/>
          <w:highlight w:val="none"/>
          <w:u w:val="single"/>
        </w:rPr>
        <w:t xml:space="preserve">     </w:t>
      </w:r>
      <w:r>
        <w:rPr>
          <w:rFonts w:hint="eastAsia" w:ascii="宋体" w:hAnsi="宋体" w:eastAsia="宋体" w:cs="宋体"/>
          <w:b/>
          <w:bCs/>
          <w:color w:val="auto"/>
          <w:sz w:val="32"/>
          <w:szCs w:val="32"/>
          <w:highlight w:val="none"/>
        </w:rPr>
        <w:t>日</w:t>
      </w:r>
    </w:p>
    <w:p>
      <w:pPr>
        <w:spacing w:line="240" w:lineRule="auto"/>
        <w:rPr>
          <w:color w:val="auto"/>
          <w:highlight w:val="none"/>
        </w:rPr>
      </w:pPr>
    </w:p>
    <w:p>
      <w:pPr>
        <w:pStyle w:val="2"/>
        <w:spacing w:line="240" w:lineRule="auto"/>
        <w:rPr>
          <w:color w:val="auto"/>
          <w:highlight w:val="none"/>
        </w:rPr>
      </w:pPr>
    </w:p>
    <w:p>
      <w:pPr>
        <w:spacing w:line="240" w:lineRule="auto"/>
        <w:rPr>
          <w:color w:val="auto"/>
          <w:highlight w:val="none"/>
        </w:rPr>
      </w:pPr>
    </w:p>
    <w:p>
      <w:pPr>
        <w:pStyle w:val="2"/>
        <w:spacing w:line="240" w:lineRule="auto"/>
        <w:rPr>
          <w:color w:val="auto"/>
          <w:highlight w:val="none"/>
        </w:rPr>
      </w:pPr>
    </w:p>
    <w:p>
      <w:pPr>
        <w:spacing w:line="240" w:lineRule="auto"/>
        <w:rPr>
          <w:color w:val="auto"/>
          <w:highlight w:val="none"/>
        </w:rPr>
      </w:pPr>
    </w:p>
    <w:p>
      <w:pPr>
        <w:pStyle w:val="2"/>
        <w:spacing w:line="240" w:lineRule="auto"/>
        <w:rPr>
          <w:color w:val="auto"/>
          <w:highlight w:val="none"/>
        </w:rPr>
      </w:pPr>
    </w:p>
    <w:p>
      <w:pPr>
        <w:spacing w:line="240" w:lineRule="auto"/>
        <w:rPr>
          <w:color w:val="auto"/>
          <w:highlight w:val="none"/>
        </w:rPr>
      </w:pPr>
    </w:p>
    <w:p>
      <w:pPr>
        <w:pStyle w:val="2"/>
        <w:spacing w:line="240" w:lineRule="auto"/>
        <w:rPr>
          <w:color w:val="auto"/>
          <w:highlight w:val="none"/>
        </w:rPr>
      </w:pPr>
    </w:p>
    <w:p>
      <w:pPr>
        <w:pStyle w:val="2"/>
        <w:spacing w:line="240" w:lineRule="auto"/>
        <w:rPr>
          <w:color w:val="auto"/>
          <w:highlight w:val="none"/>
        </w:rPr>
      </w:pPr>
    </w:p>
    <w:p>
      <w:pPr>
        <w:spacing w:line="240" w:lineRule="auto"/>
        <w:rPr>
          <w:color w:val="auto"/>
          <w:highlight w:val="none"/>
        </w:rPr>
        <w:sectPr>
          <w:headerReference r:id="rId15" w:type="default"/>
          <w:footerReference r:id="rId16" w:type="default"/>
          <w:pgSz w:w="11905" w:h="16838"/>
          <w:pgMar w:top="1417" w:right="1417" w:bottom="1417" w:left="1417" w:header="0" w:footer="1134" w:gutter="0"/>
          <w:cols w:space="425" w:num="1"/>
        </w:sectPr>
      </w:pPr>
    </w:p>
    <w:p>
      <w:pPr>
        <w:spacing w:before="3" w:line="240" w:lineRule="auto"/>
        <w:ind w:right="13"/>
        <w:jc w:val="center"/>
        <w:outlineLvl w:val="9"/>
        <w:rPr>
          <w:rFonts w:ascii="宋体" w:hAnsi="宋体" w:eastAsia="宋体" w:cs="宋体"/>
          <w:b/>
          <w:bCs/>
          <w:color w:val="auto"/>
          <w:sz w:val="32"/>
          <w:szCs w:val="32"/>
          <w:highlight w:val="none"/>
        </w:rPr>
      </w:pPr>
      <w:bookmarkStart w:id="134" w:name="_Toc10013"/>
      <w:bookmarkStart w:id="135" w:name="_Toc25280"/>
    </w:p>
    <w:p>
      <w:pPr>
        <w:spacing w:before="0" w:line="240" w:lineRule="auto"/>
        <w:ind w:right="0"/>
        <w:jc w:val="left"/>
        <w:outlineLvl w:val="9"/>
        <w:rPr>
          <w:rFonts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br w:type="page"/>
      </w:r>
    </w:p>
    <w:p>
      <w:pPr>
        <w:spacing w:before="3" w:line="240" w:lineRule="auto"/>
        <w:ind w:right="13"/>
        <w:jc w:val="center"/>
        <w:outlineLvl w:val="9"/>
        <w:rPr>
          <w:rFonts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一、投 标 函 (实质性要求)</w:t>
      </w:r>
      <w:bookmarkEnd w:id="134"/>
      <w:bookmarkEnd w:id="135"/>
    </w:p>
    <w:p>
      <w:pPr>
        <w:spacing w:line="240" w:lineRule="auto"/>
        <w:ind w:left="14"/>
        <w:rPr>
          <w:rFonts w:ascii="宋体" w:hAnsi="宋体" w:eastAsia="宋体" w:cs="宋体"/>
          <w:color w:val="auto"/>
          <w:spacing w:val="6"/>
          <w:sz w:val="23"/>
          <w:szCs w:val="23"/>
          <w:highlight w:val="none"/>
        </w:rPr>
      </w:pPr>
    </w:p>
    <w:p>
      <w:pPr>
        <w:spacing w:line="240" w:lineRule="auto"/>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_________________</w:t>
      </w:r>
      <w:r>
        <w:rPr>
          <w:rFonts w:hint="eastAsia" w:ascii="宋体" w:hAnsi="宋体" w:eastAsia="宋体" w:cs="宋体"/>
          <w:color w:val="auto"/>
          <w:spacing w:val="6"/>
          <w:sz w:val="24"/>
          <w:szCs w:val="24"/>
          <w:highlight w:val="none"/>
        </w:rPr>
        <w:t>(招标代理机构名称)：</w:t>
      </w:r>
    </w:p>
    <w:p>
      <w:pPr>
        <w:spacing w:line="240" w:lineRule="auto"/>
        <w:ind w:left="24" w:right="13" w:firstLine="471"/>
        <w:rPr>
          <w:rFonts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我方全面研究了“</w:t>
      </w:r>
      <w:r>
        <w:rPr>
          <w:rFonts w:ascii="宋体" w:hAnsi="宋体" w:eastAsia="宋体" w:cs="宋体"/>
          <w:color w:val="auto"/>
          <w:spacing w:val="-1"/>
          <w:sz w:val="24"/>
          <w:szCs w:val="24"/>
          <w:highlight w:val="none"/>
        </w:rPr>
        <w:t xml:space="preserve">_________________ </w:t>
      </w:r>
      <w:r>
        <w:rPr>
          <w:rFonts w:hint="eastAsia" w:ascii="宋体" w:hAnsi="宋体" w:eastAsia="宋体" w:cs="宋体"/>
          <w:color w:val="auto"/>
          <w:spacing w:val="6"/>
          <w:sz w:val="24"/>
          <w:szCs w:val="24"/>
          <w:highlight w:val="none"/>
        </w:rPr>
        <w:t>”项目(招标编号：</w:t>
      </w:r>
      <w:r>
        <w:rPr>
          <w:rFonts w:ascii="宋体" w:hAnsi="宋体" w:eastAsia="宋体" w:cs="宋体"/>
          <w:color w:val="auto"/>
          <w:spacing w:val="-1"/>
          <w:sz w:val="24"/>
          <w:szCs w:val="24"/>
          <w:highlight w:val="none"/>
          <w:u w:val="single"/>
        </w:rPr>
        <w:t xml:space="preserve">              </w:t>
      </w:r>
      <w:r>
        <w:rPr>
          <w:rFonts w:hint="eastAsia" w:ascii="宋体" w:hAnsi="宋体" w:eastAsia="宋体" w:cs="宋体"/>
          <w:color w:val="auto"/>
          <w:spacing w:val="6"/>
          <w:sz w:val="24"/>
          <w:szCs w:val="24"/>
          <w:highlight w:val="none"/>
        </w:rPr>
        <w:t>)招标文件，决定参加贵单位组织的本项目投标。我方授权</w:t>
      </w:r>
      <w:r>
        <w:rPr>
          <w:rFonts w:ascii="宋体" w:hAnsi="宋体" w:eastAsia="宋体" w:cs="宋体"/>
          <w:color w:val="auto"/>
          <w:spacing w:val="3"/>
          <w:sz w:val="24"/>
          <w:szCs w:val="24"/>
          <w:highlight w:val="none"/>
        </w:rPr>
        <w:t xml:space="preserve">_________________ </w:t>
      </w:r>
      <w:r>
        <w:rPr>
          <w:rFonts w:hint="eastAsia" w:ascii="宋体" w:hAnsi="宋体" w:eastAsia="宋体" w:cs="宋体"/>
          <w:color w:val="auto"/>
          <w:spacing w:val="6"/>
          <w:sz w:val="24"/>
          <w:szCs w:val="24"/>
          <w:highlight w:val="none"/>
        </w:rPr>
        <w:t>(姓名、职务) 代表我方</w:t>
      </w:r>
      <w:r>
        <w:rPr>
          <w:rFonts w:hint="eastAsia" w:ascii="宋体" w:hAnsi="宋体" w:eastAsia="宋体" w:cs="宋体"/>
          <w:color w:val="auto"/>
          <w:spacing w:val="6"/>
          <w:sz w:val="24"/>
          <w:szCs w:val="24"/>
          <w:highlight w:val="none"/>
          <w:u w:val="single"/>
        </w:rPr>
        <w:t xml:space="preserve">              </w:t>
      </w:r>
      <w:r>
        <w:rPr>
          <w:rFonts w:hint="eastAsia" w:ascii="宋体" w:hAnsi="宋体" w:eastAsia="宋体" w:cs="宋体"/>
          <w:color w:val="auto"/>
          <w:spacing w:val="6"/>
          <w:sz w:val="24"/>
          <w:szCs w:val="24"/>
          <w:highlight w:val="none"/>
        </w:rPr>
        <w:t>(投标单位的名称)全权处理本项目投标的有关事宜。</w:t>
      </w:r>
    </w:p>
    <w:p>
      <w:pPr>
        <w:spacing w:line="240" w:lineRule="auto"/>
        <w:ind w:left="24" w:right="13" w:firstLine="471"/>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一、我方自愿按照招标文件规定的各项要求向招标人提供所需服务，</w:t>
      </w:r>
      <w:r>
        <w:rPr>
          <w:rFonts w:hint="eastAsia" w:ascii="宋体" w:hAnsi="宋体" w:eastAsia="宋体" w:cs="宋体"/>
          <w:b/>
          <w:bCs/>
          <w:color w:val="auto"/>
          <w:spacing w:val="6"/>
          <w:sz w:val="24"/>
          <w:szCs w:val="24"/>
          <w:highlight w:val="none"/>
        </w:rPr>
        <w:t>投标报价以《开标一览表》为准</w:t>
      </w:r>
      <w:r>
        <w:rPr>
          <w:rFonts w:hint="eastAsia" w:ascii="宋体" w:hAnsi="宋体" w:eastAsia="宋体" w:cs="宋体"/>
          <w:color w:val="auto"/>
          <w:spacing w:val="6"/>
          <w:sz w:val="24"/>
          <w:szCs w:val="24"/>
          <w:highlight w:val="none"/>
        </w:rPr>
        <w:t>。</w:t>
      </w:r>
    </w:p>
    <w:p>
      <w:pPr>
        <w:spacing w:line="240" w:lineRule="auto"/>
        <w:ind w:left="24" w:right="13" w:firstLine="471"/>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二、一旦我方中标，我方将严格履行采购合同规定的责任和义务。</w:t>
      </w:r>
    </w:p>
    <w:p>
      <w:pPr>
        <w:spacing w:line="240" w:lineRule="auto"/>
        <w:ind w:left="24" w:right="13" w:firstLine="471"/>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三、我方为本项目提交的资格性投标文件正本1份副本2份，其他响应性投标文件正本1份副本2份，用于开标唱标的“开标一览表”一份，电子文档1份。</w:t>
      </w:r>
    </w:p>
    <w:p>
      <w:pPr>
        <w:spacing w:line="240" w:lineRule="auto"/>
        <w:ind w:left="24" w:right="13" w:firstLine="471"/>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四、我方已知晓全部招标文件的内容，包括修改文件（如有）以及全部相关资料和有关附件，并对上述文件均无异议。</w:t>
      </w:r>
    </w:p>
    <w:p>
      <w:pPr>
        <w:spacing w:line="240" w:lineRule="auto"/>
        <w:ind w:left="24" w:right="13" w:firstLine="471"/>
        <w:rPr>
          <w:rFonts w:ascii="宋体" w:hAnsi="宋体" w:eastAsia="宋体" w:cs="宋体"/>
          <w:color w:val="auto"/>
          <w:spacing w:val="6"/>
          <w:sz w:val="24"/>
          <w:szCs w:val="24"/>
          <w:highlight w:val="none"/>
        </w:rPr>
      </w:pPr>
      <w:bookmarkStart w:id="136" w:name="_Toc2829"/>
      <w:bookmarkStart w:id="137" w:name="_Toc1308"/>
      <w:r>
        <w:rPr>
          <w:rFonts w:hint="eastAsia" w:ascii="宋体" w:hAnsi="宋体" w:eastAsia="宋体" w:cs="宋体"/>
          <w:color w:val="auto"/>
          <w:spacing w:val="6"/>
          <w:sz w:val="24"/>
          <w:szCs w:val="24"/>
          <w:highlight w:val="none"/>
        </w:rPr>
        <w:t>五、我方同意本次招标的投标有效期为投标截止之日起90天。</w:t>
      </w:r>
      <w:bookmarkEnd w:id="136"/>
      <w:bookmarkEnd w:id="137"/>
    </w:p>
    <w:p>
      <w:pPr>
        <w:spacing w:line="240" w:lineRule="auto"/>
        <w:ind w:left="24" w:right="13" w:firstLine="471"/>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六、我方愿意提供贵单位可能另外要求的，与投标有关的文件资料，并保证我方已提供和将要提供的文件资料是真实、准确的。</w:t>
      </w:r>
    </w:p>
    <w:p>
      <w:pPr>
        <w:spacing w:line="240" w:lineRule="auto"/>
        <w:ind w:left="24" w:right="13" w:firstLine="471"/>
        <w:rPr>
          <w:rFonts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七、我方完全理解招标人不一定将合同授予最低报价的投标人的行为。</w:t>
      </w:r>
    </w:p>
    <w:p>
      <w:pPr>
        <w:spacing w:line="240" w:lineRule="auto"/>
        <w:rPr>
          <w:color w:val="auto"/>
          <w:sz w:val="24"/>
          <w:szCs w:val="24"/>
          <w:highlight w:val="none"/>
        </w:rPr>
      </w:pPr>
    </w:p>
    <w:p>
      <w:pPr>
        <w:spacing w:line="240" w:lineRule="auto"/>
        <w:rPr>
          <w:color w:val="auto"/>
          <w:sz w:val="24"/>
          <w:szCs w:val="24"/>
          <w:highlight w:val="none"/>
        </w:rPr>
      </w:pPr>
    </w:p>
    <w:p>
      <w:pPr>
        <w:spacing w:line="240" w:lineRule="auto"/>
        <w:rPr>
          <w:color w:val="auto"/>
          <w:sz w:val="24"/>
          <w:szCs w:val="24"/>
          <w:highlight w:val="none"/>
        </w:rPr>
      </w:pPr>
    </w:p>
    <w:p>
      <w:pPr>
        <w:spacing w:before="75" w:line="240" w:lineRule="auto"/>
        <w:ind w:left="496"/>
        <w:rPr>
          <w:rFonts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投标人名称：</w:t>
      </w:r>
      <w:r>
        <w:rPr>
          <w:rFonts w:ascii="宋体" w:hAnsi="宋体" w:eastAsia="宋体" w:cs="宋体"/>
          <w:color w:val="auto"/>
          <w:spacing w:val="-1"/>
          <w:sz w:val="24"/>
          <w:szCs w:val="24"/>
          <w:highlight w:val="none"/>
          <w:u w:val="single"/>
        </w:rPr>
        <w:t xml:space="preserve">       </w:t>
      </w:r>
      <w:r>
        <w:rPr>
          <w:rFonts w:ascii="宋体" w:hAnsi="宋体" w:eastAsia="宋体" w:cs="宋体"/>
          <w:color w:val="auto"/>
          <w:sz w:val="24"/>
          <w:szCs w:val="24"/>
          <w:highlight w:val="none"/>
          <w:u w:val="single"/>
        </w:rPr>
        <w:t xml:space="preserve">                  </w:t>
      </w:r>
      <w:r>
        <w:rPr>
          <w:rFonts w:hint="eastAsia" w:ascii="宋体" w:hAnsi="宋体" w:eastAsia="宋体" w:cs="宋体"/>
          <w:color w:val="auto"/>
          <w:spacing w:val="6"/>
          <w:sz w:val="24"/>
          <w:szCs w:val="24"/>
          <w:highlight w:val="none"/>
        </w:rPr>
        <w:t>(盖单位公章)</w:t>
      </w:r>
    </w:p>
    <w:p>
      <w:pPr>
        <w:spacing w:before="77" w:line="240" w:lineRule="auto"/>
        <w:ind w:left="493" w:right="410"/>
        <w:rPr>
          <w:rFonts w:ascii="宋体" w:hAnsi="宋体" w:eastAsia="宋体" w:cs="宋体"/>
          <w:color w:val="auto"/>
          <w:spacing w:val="4"/>
          <w:sz w:val="24"/>
          <w:szCs w:val="24"/>
          <w:highlight w:val="none"/>
        </w:rPr>
      </w:pPr>
      <w:r>
        <w:rPr>
          <w:rFonts w:hint="eastAsia" w:ascii="宋体" w:hAnsi="宋体" w:eastAsia="宋体" w:cs="宋体"/>
          <w:color w:val="auto"/>
          <w:spacing w:val="6"/>
          <w:sz w:val="24"/>
          <w:szCs w:val="24"/>
          <w:highlight w:val="none"/>
        </w:rPr>
        <w:t>法定代表人/单位负责人或授权代表(签字或加盖个人名章)：</w:t>
      </w:r>
      <w:r>
        <w:rPr>
          <w:rFonts w:hint="eastAsia" w:ascii="宋体" w:hAnsi="宋体" w:eastAsia="宋体" w:cs="宋体"/>
          <w:color w:val="auto"/>
          <w:spacing w:val="6"/>
          <w:sz w:val="24"/>
          <w:szCs w:val="24"/>
          <w:highlight w:val="none"/>
          <w:u w:val="single"/>
        </w:rPr>
        <w:t xml:space="preserve">     </w:t>
      </w:r>
      <w:r>
        <w:rPr>
          <w:rFonts w:ascii="宋体" w:hAnsi="宋体" w:eastAsia="宋体" w:cs="宋体"/>
          <w:color w:val="auto"/>
          <w:spacing w:val="4"/>
          <w:sz w:val="24"/>
          <w:szCs w:val="24"/>
          <w:highlight w:val="none"/>
        </w:rPr>
        <w:t xml:space="preserve"> </w:t>
      </w:r>
    </w:p>
    <w:p>
      <w:pPr>
        <w:spacing w:before="77" w:line="240" w:lineRule="auto"/>
        <w:ind w:left="493" w:right="410"/>
        <w:rPr>
          <w:rFonts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通讯地址：</w:t>
      </w:r>
      <w:r>
        <w:rPr>
          <w:rFonts w:ascii="宋体" w:hAnsi="宋体" w:eastAsia="宋体" w:cs="宋体"/>
          <w:color w:val="auto"/>
          <w:sz w:val="24"/>
          <w:szCs w:val="24"/>
          <w:highlight w:val="none"/>
          <w:u w:val="single"/>
        </w:rPr>
        <w:t xml:space="preserve">                  </w:t>
      </w:r>
    </w:p>
    <w:p>
      <w:pPr>
        <w:spacing w:before="1" w:line="240" w:lineRule="auto"/>
        <w:ind w:left="511"/>
        <w:rPr>
          <w:rFonts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邮政编码</w:t>
      </w:r>
      <w:r>
        <w:rPr>
          <w:rFonts w:ascii="宋体" w:hAnsi="宋体" w:eastAsia="宋体" w:cs="宋体"/>
          <w:color w:val="auto"/>
          <w:spacing w:val="2"/>
          <w:sz w:val="24"/>
          <w:szCs w:val="24"/>
          <w:highlight w:val="none"/>
        </w:rPr>
        <w:t>：</w:t>
      </w:r>
      <w:r>
        <w:rPr>
          <w:rFonts w:ascii="宋体" w:hAnsi="宋体" w:eastAsia="宋体" w:cs="宋体"/>
          <w:color w:val="auto"/>
          <w:sz w:val="24"/>
          <w:szCs w:val="24"/>
          <w:highlight w:val="none"/>
          <w:u w:val="single"/>
        </w:rPr>
        <w:t xml:space="preserve">                  </w:t>
      </w:r>
    </w:p>
    <w:p>
      <w:pPr>
        <w:spacing w:before="76" w:line="240" w:lineRule="auto"/>
        <w:ind w:left="494"/>
        <w:rPr>
          <w:rFonts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联系电话：</w:t>
      </w:r>
      <w:r>
        <w:rPr>
          <w:rFonts w:ascii="宋体" w:hAnsi="宋体" w:eastAsia="宋体" w:cs="宋体"/>
          <w:color w:val="auto"/>
          <w:sz w:val="24"/>
          <w:szCs w:val="24"/>
          <w:highlight w:val="none"/>
          <w:u w:val="single"/>
        </w:rPr>
        <w:t xml:space="preserve">                  </w:t>
      </w:r>
    </w:p>
    <w:p>
      <w:pPr>
        <w:spacing w:before="74" w:line="240" w:lineRule="auto"/>
        <w:ind w:left="491"/>
        <w:rPr>
          <w:rFonts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传    真 ：</w:t>
      </w:r>
      <w:r>
        <w:rPr>
          <w:rFonts w:ascii="宋体" w:hAnsi="宋体" w:eastAsia="宋体" w:cs="宋体"/>
          <w:color w:val="auto"/>
          <w:sz w:val="24"/>
          <w:szCs w:val="24"/>
          <w:highlight w:val="none"/>
          <w:u w:val="single"/>
        </w:rPr>
        <w:t xml:space="preserve">                  </w:t>
      </w:r>
    </w:p>
    <w:p>
      <w:pPr>
        <w:spacing w:before="78" w:line="240" w:lineRule="auto"/>
        <w:ind w:left="535"/>
        <w:rPr>
          <w:rFonts w:ascii="宋体" w:hAnsi="宋体" w:eastAsia="宋体" w:cs="宋体"/>
          <w:color w:val="auto"/>
          <w:sz w:val="23"/>
          <w:szCs w:val="23"/>
          <w:highlight w:val="none"/>
        </w:rPr>
      </w:pPr>
      <w:r>
        <w:rPr>
          <w:rFonts w:hint="eastAsia" w:ascii="宋体" w:hAnsi="宋体" w:eastAsia="宋体" w:cs="宋体"/>
          <w:color w:val="auto"/>
          <w:spacing w:val="6"/>
          <w:sz w:val="24"/>
          <w:szCs w:val="24"/>
          <w:highlight w:val="none"/>
        </w:rPr>
        <w:t>日    期 ：</w:t>
      </w:r>
      <w:r>
        <w:rPr>
          <w:rFonts w:ascii="宋体" w:hAnsi="宋体" w:eastAsia="宋体" w:cs="宋体"/>
          <w:color w:val="auto"/>
          <w:sz w:val="24"/>
          <w:szCs w:val="24"/>
          <w:highlight w:val="none"/>
          <w:u w:val="single"/>
        </w:rPr>
        <w:t xml:space="preserve">    </w:t>
      </w:r>
      <w:r>
        <w:rPr>
          <w:rFonts w:hint="eastAsia" w:ascii="宋体" w:hAnsi="宋体" w:eastAsia="宋体" w:cs="宋体"/>
          <w:color w:val="auto"/>
          <w:spacing w:val="6"/>
          <w:sz w:val="24"/>
          <w:szCs w:val="24"/>
          <w:highlight w:val="none"/>
        </w:rPr>
        <w:t>年</w:t>
      </w:r>
      <w:r>
        <w:rPr>
          <w:rFonts w:ascii="宋体" w:hAnsi="宋体" w:eastAsia="宋体" w:cs="宋体"/>
          <w:color w:val="auto"/>
          <w:sz w:val="24"/>
          <w:szCs w:val="24"/>
          <w:highlight w:val="none"/>
          <w:u w:val="single"/>
        </w:rPr>
        <w:t xml:space="preserve">   </w:t>
      </w:r>
      <w:r>
        <w:rPr>
          <w:rFonts w:hint="eastAsia" w:ascii="宋体" w:hAnsi="宋体" w:eastAsia="宋体" w:cs="宋体"/>
          <w:color w:val="auto"/>
          <w:spacing w:val="6"/>
          <w:sz w:val="24"/>
          <w:szCs w:val="24"/>
          <w:highlight w:val="none"/>
        </w:rPr>
        <w:t>月</w:t>
      </w:r>
      <w:r>
        <w:rPr>
          <w:rFonts w:ascii="宋体" w:hAnsi="宋体" w:eastAsia="宋体" w:cs="宋体"/>
          <w:color w:val="auto"/>
          <w:sz w:val="24"/>
          <w:szCs w:val="24"/>
          <w:highlight w:val="none"/>
          <w:u w:val="single"/>
        </w:rPr>
        <w:t xml:space="preserve">   </w:t>
      </w:r>
      <w:r>
        <w:rPr>
          <w:rFonts w:hint="eastAsia" w:ascii="宋体" w:hAnsi="宋体" w:eastAsia="宋体" w:cs="宋体"/>
          <w:color w:val="auto"/>
          <w:spacing w:val="6"/>
          <w:sz w:val="24"/>
          <w:szCs w:val="24"/>
          <w:highlight w:val="none"/>
        </w:rPr>
        <w:t>日</w:t>
      </w:r>
    </w:p>
    <w:p>
      <w:pPr>
        <w:spacing w:line="240" w:lineRule="auto"/>
        <w:rPr>
          <w:color w:val="auto"/>
          <w:highlight w:val="none"/>
        </w:rPr>
        <w:sectPr>
          <w:headerReference r:id="rId17" w:type="default"/>
          <w:footerReference r:id="rId18" w:type="default"/>
          <w:type w:val="continuous"/>
          <w:pgSz w:w="11905" w:h="16838"/>
          <w:pgMar w:top="1417" w:right="1417" w:bottom="1417" w:left="1417" w:header="0" w:footer="1134" w:gutter="0"/>
          <w:cols w:space="425" w:num="1"/>
        </w:sectPr>
      </w:pPr>
    </w:p>
    <w:p>
      <w:pPr>
        <w:spacing w:before="3" w:line="240" w:lineRule="auto"/>
        <w:ind w:right="13"/>
        <w:jc w:val="center"/>
        <w:outlineLvl w:val="9"/>
        <w:rPr>
          <w:rFonts w:ascii="宋体" w:hAnsi="宋体" w:eastAsia="宋体" w:cs="宋体"/>
          <w:b/>
          <w:bCs/>
          <w:color w:val="auto"/>
          <w:sz w:val="32"/>
          <w:szCs w:val="32"/>
          <w:highlight w:val="none"/>
        </w:rPr>
      </w:pPr>
      <w:bookmarkStart w:id="138" w:name="_Toc27869"/>
      <w:bookmarkStart w:id="139" w:name="_Toc3141"/>
      <w:r>
        <w:rPr>
          <w:rFonts w:hint="eastAsia" w:ascii="宋体" w:hAnsi="宋体" w:eastAsia="宋体" w:cs="宋体"/>
          <w:b/>
          <w:bCs/>
          <w:color w:val="auto"/>
          <w:sz w:val="32"/>
          <w:szCs w:val="32"/>
          <w:highlight w:val="none"/>
        </w:rPr>
        <w:t>二、开标一览表</w:t>
      </w:r>
      <w:bookmarkEnd w:id="138"/>
      <w:bookmarkEnd w:id="139"/>
    </w:p>
    <w:p>
      <w:pPr>
        <w:spacing w:before="136" w:line="240" w:lineRule="auto"/>
        <w:ind w:left="594"/>
        <w:rPr>
          <w:rFonts w:ascii="宋体" w:hAnsi="宋体" w:eastAsia="宋体" w:cs="宋体"/>
          <w:color w:val="auto"/>
          <w:spacing w:val="-2"/>
          <w:sz w:val="23"/>
          <w:szCs w:val="23"/>
          <w:highlight w:val="none"/>
        </w:rPr>
      </w:pPr>
    </w:p>
    <w:tbl>
      <w:tblPr>
        <w:tblStyle w:val="18"/>
        <w:tblW w:w="8649" w:type="dxa"/>
        <w:jc w:val="center"/>
        <w:tblLayout w:type="fixed"/>
        <w:tblCellMar>
          <w:top w:w="0" w:type="dxa"/>
          <w:left w:w="108" w:type="dxa"/>
          <w:bottom w:w="0" w:type="dxa"/>
          <w:right w:w="108" w:type="dxa"/>
        </w:tblCellMar>
      </w:tblPr>
      <w:tblGrid>
        <w:gridCol w:w="1587"/>
        <w:gridCol w:w="7062"/>
      </w:tblGrid>
      <w:tr>
        <w:tblPrEx>
          <w:tblCellMar>
            <w:top w:w="0" w:type="dxa"/>
            <w:left w:w="108" w:type="dxa"/>
            <w:bottom w:w="0" w:type="dxa"/>
            <w:right w:w="108" w:type="dxa"/>
          </w:tblCellMar>
        </w:tblPrEx>
        <w:trPr>
          <w:cantSplit/>
          <w:trHeight w:val="800" w:hRule="atLeast"/>
          <w:jc w:val="center"/>
        </w:trPr>
        <w:tc>
          <w:tcPr>
            <w:tcW w:w="1587" w:type="dxa"/>
            <w:tcBorders>
              <w:top w:val="single" w:color="000000" w:sz="4" w:space="0"/>
              <w:left w:val="single" w:color="000000" w:sz="4" w:space="0"/>
              <w:bottom w:val="single" w:color="000000" w:sz="4" w:space="0"/>
              <w:right w:val="single" w:color="000000" w:sz="4" w:space="0"/>
            </w:tcBorders>
            <w:vAlign w:val="center"/>
          </w:tcPr>
          <w:p>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项目名称</w:t>
            </w:r>
          </w:p>
        </w:tc>
        <w:tc>
          <w:tcPr>
            <w:tcW w:w="7062" w:type="dxa"/>
            <w:tcBorders>
              <w:top w:val="single" w:color="000000" w:sz="4" w:space="0"/>
              <w:left w:val="single" w:color="000000" w:sz="4" w:space="0"/>
              <w:bottom w:val="single" w:color="000000" w:sz="4" w:space="0"/>
              <w:right w:val="single" w:color="000000" w:sz="4" w:space="0"/>
            </w:tcBorders>
            <w:vAlign w:val="center"/>
          </w:tcPr>
          <w:p>
            <w:pPr>
              <w:spacing w:line="240" w:lineRule="auto"/>
              <w:ind w:right="13"/>
              <w:jc w:val="center"/>
              <w:rPr>
                <w:rFonts w:ascii="宋体" w:hAnsi="宋体" w:eastAsia="宋体" w:cs="宋体"/>
                <w:color w:val="auto"/>
                <w:spacing w:val="6"/>
                <w:sz w:val="24"/>
                <w:szCs w:val="24"/>
                <w:highlight w:val="none"/>
              </w:rPr>
            </w:pPr>
          </w:p>
        </w:tc>
      </w:tr>
      <w:tr>
        <w:tblPrEx>
          <w:tblCellMar>
            <w:top w:w="0" w:type="dxa"/>
            <w:left w:w="108" w:type="dxa"/>
            <w:bottom w:w="0" w:type="dxa"/>
            <w:right w:w="108" w:type="dxa"/>
          </w:tblCellMar>
        </w:tblPrEx>
        <w:trPr>
          <w:cantSplit/>
          <w:trHeight w:val="800" w:hRule="atLeast"/>
          <w:jc w:val="center"/>
        </w:trPr>
        <w:tc>
          <w:tcPr>
            <w:tcW w:w="1587" w:type="dxa"/>
            <w:tcBorders>
              <w:top w:val="single" w:color="000000" w:sz="4" w:space="0"/>
              <w:left w:val="single" w:color="000000" w:sz="4" w:space="0"/>
              <w:bottom w:val="single" w:color="000000" w:sz="4" w:space="0"/>
              <w:right w:val="single" w:color="000000" w:sz="4" w:space="0"/>
            </w:tcBorders>
            <w:vAlign w:val="center"/>
          </w:tcPr>
          <w:p>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项目编号</w:t>
            </w:r>
          </w:p>
        </w:tc>
        <w:tc>
          <w:tcPr>
            <w:tcW w:w="7062" w:type="dxa"/>
            <w:tcBorders>
              <w:top w:val="single" w:color="000000" w:sz="4" w:space="0"/>
              <w:left w:val="single" w:color="000000" w:sz="4" w:space="0"/>
              <w:bottom w:val="single" w:color="000000" w:sz="4" w:space="0"/>
              <w:right w:val="single" w:color="000000" w:sz="4" w:space="0"/>
            </w:tcBorders>
            <w:vAlign w:val="center"/>
          </w:tcPr>
          <w:p>
            <w:pPr>
              <w:spacing w:line="240" w:lineRule="auto"/>
              <w:ind w:right="13"/>
              <w:jc w:val="center"/>
              <w:rPr>
                <w:rFonts w:ascii="宋体" w:hAnsi="宋体" w:eastAsia="宋体" w:cs="宋体"/>
                <w:color w:val="auto"/>
                <w:spacing w:val="6"/>
                <w:sz w:val="24"/>
                <w:szCs w:val="24"/>
                <w:highlight w:val="none"/>
              </w:rPr>
            </w:pPr>
          </w:p>
        </w:tc>
      </w:tr>
      <w:tr>
        <w:tblPrEx>
          <w:tblCellMar>
            <w:top w:w="0" w:type="dxa"/>
            <w:left w:w="108" w:type="dxa"/>
            <w:bottom w:w="0" w:type="dxa"/>
            <w:right w:w="108" w:type="dxa"/>
          </w:tblCellMar>
        </w:tblPrEx>
        <w:trPr>
          <w:cantSplit/>
          <w:trHeight w:val="706" w:hRule="atLeast"/>
          <w:jc w:val="center"/>
        </w:trPr>
        <w:tc>
          <w:tcPr>
            <w:tcW w:w="1587" w:type="dxa"/>
            <w:tcBorders>
              <w:top w:val="single" w:color="000000" w:sz="4" w:space="0"/>
              <w:left w:val="single" w:color="000000" w:sz="4" w:space="0"/>
              <w:bottom w:val="single" w:color="000000" w:sz="4" w:space="0"/>
              <w:right w:val="single" w:color="000000" w:sz="4" w:space="0"/>
            </w:tcBorders>
            <w:vAlign w:val="center"/>
          </w:tcPr>
          <w:p>
            <w:pPr>
              <w:spacing w:line="240" w:lineRule="auto"/>
              <w:ind w:right="13"/>
              <w:jc w:val="center"/>
              <w:rPr>
                <w:rFonts w:hint="eastAsia" w:ascii="宋体" w:hAnsi="宋体" w:eastAsia="宋体" w:cs="宋体"/>
                <w:color w:val="auto"/>
                <w:spacing w:val="6"/>
                <w:sz w:val="24"/>
                <w:szCs w:val="24"/>
                <w:highlight w:val="none"/>
                <w:lang w:eastAsia="zh-CN"/>
              </w:rPr>
            </w:pPr>
            <w:r>
              <w:rPr>
                <w:rFonts w:hint="eastAsia" w:ascii="宋体" w:hAnsi="宋体" w:eastAsia="宋体" w:cs="宋体"/>
                <w:color w:val="auto"/>
                <w:spacing w:val="6"/>
                <w:sz w:val="24"/>
                <w:szCs w:val="24"/>
                <w:highlight w:val="none"/>
              </w:rPr>
              <w:t>投标</w:t>
            </w:r>
            <w:r>
              <w:rPr>
                <w:rFonts w:hint="eastAsia" w:ascii="宋体" w:hAnsi="宋体" w:eastAsia="宋体" w:cs="宋体"/>
                <w:color w:val="auto"/>
                <w:spacing w:val="6"/>
                <w:sz w:val="24"/>
                <w:szCs w:val="24"/>
                <w:highlight w:val="none"/>
                <w:lang w:val="en-US" w:eastAsia="zh-CN"/>
              </w:rPr>
              <w:t>报价</w:t>
            </w:r>
          </w:p>
        </w:tc>
        <w:tc>
          <w:tcPr>
            <w:tcW w:w="7062" w:type="dxa"/>
            <w:tcBorders>
              <w:top w:val="single" w:color="000000" w:sz="4" w:space="0"/>
              <w:left w:val="single" w:color="000000" w:sz="4" w:space="0"/>
              <w:bottom w:val="single" w:color="000000" w:sz="4" w:space="0"/>
              <w:right w:val="single" w:color="000000" w:sz="4" w:space="0"/>
            </w:tcBorders>
            <w:vAlign w:val="center"/>
          </w:tcPr>
          <w:p>
            <w:pPr>
              <w:spacing w:line="240" w:lineRule="auto"/>
              <w:ind w:right="13"/>
              <w:jc w:val="both"/>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 xml:space="preserve">小写：         </w:t>
            </w:r>
            <w:r>
              <w:rPr>
                <w:rFonts w:hint="eastAsia" w:ascii="宋体" w:hAnsi="宋体" w:eastAsia="宋体" w:cs="宋体"/>
                <w:color w:val="auto"/>
                <w:spacing w:val="6"/>
                <w:sz w:val="24"/>
                <w:szCs w:val="24"/>
                <w:highlight w:val="none"/>
                <w:lang w:val="en-US" w:eastAsia="zh-CN"/>
              </w:rPr>
              <w:t>元/套</w:t>
            </w:r>
            <w:r>
              <w:rPr>
                <w:rFonts w:hint="eastAsia" w:ascii="宋体" w:hAnsi="宋体" w:eastAsia="宋体" w:cs="宋体"/>
                <w:color w:val="auto"/>
                <w:spacing w:val="6"/>
                <w:sz w:val="24"/>
                <w:szCs w:val="24"/>
                <w:highlight w:val="none"/>
              </w:rPr>
              <w:t xml:space="preserve">         </w:t>
            </w:r>
          </w:p>
          <w:p>
            <w:pPr>
              <w:spacing w:line="240" w:lineRule="auto"/>
              <w:ind w:right="13"/>
              <w:jc w:val="both"/>
              <w:rPr>
                <w:rFonts w:hint="default" w:ascii="宋体" w:hAnsi="宋体" w:eastAsia="宋体" w:cs="宋体"/>
                <w:color w:val="auto"/>
                <w:spacing w:val="6"/>
                <w:sz w:val="24"/>
                <w:szCs w:val="24"/>
                <w:highlight w:val="none"/>
                <w:lang w:val="en-US" w:eastAsia="zh-CN"/>
              </w:rPr>
            </w:pPr>
            <w:r>
              <w:rPr>
                <w:rFonts w:hint="eastAsia" w:ascii="宋体" w:hAnsi="宋体" w:eastAsia="宋体" w:cs="宋体"/>
                <w:color w:val="auto"/>
                <w:spacing w:val="6"/>
                <w:sz w:val="24"/>
                <w:szCs w:val="24"/>
                <w:highlight w:val="none"/>
              </w:rPr>
              <w:t>大写：</w:t>
            </w:r>
            <w:r>
              <w:rPr>
                <w:rFonts w:hint="eastAsia" w:ascii="宋体" w:hAnsi="宋体" w:eastAsia="宋体" w:cs="宋体"/>
                <w:color w:val="auto"/>
                <w:spacing w:val="6"/>
                <w:sz w:val="24"/>
                <w:szCs w:val="24"/>
                <w:highlight w:val="none"/>
                <w:lang w:val="en-US" w:eastAsia="zh-CN"/>
              </w:rPr>
              <w:t xml:space="preserve">               元整/套</w:t>
            </w:r>
          </w:p>
        </w:tc>
      </w:tr>
      <w:tr>
        <w:tblPrEx>
          <w:tblCellMar>
            <w:top w:w="0" w:type="dxa"/>
            <w:left w:w="108" w:type="dxa"/>
            <w:bottom w:w="0" w:type="dxa"/>
            <w:right w:w="108" w:type="dxa"/>
          </w:tblCellMar>
        </w:tblPrEx>
        <w:trPr>
          <w:cantSplit/>
          <w:trHeight w:val="676" w:hRule="atLeast"/>
          <w:jc w:val="center"/>
        </w:trPr>
        <w:tc>
          <w:tcPr>
            <w:tcW w:w="8649" w:type="dxa"/>
            <w:gridSpan w:val="2"/>
            <w:tcBorders>
              <w:top w:val="single" w:color="000000" w:sz="4" w:space="0"/>
              <w:left w:val="single" w:color="000000" w:sz="4" w:space="0"/>
              <w:bottom w:val="single" w:color="000000" w:sz="4" w:space="0"/>
              <w:right w:val="single" w:color="000000" w:sz="4" w:space="0"/>
            </w:tcBorders>
            <w:vAlign w:val="center"/>
          </w:tcPr>
          <w:p>
            <w:pPr>
              <w:spacing w:line="240" w:lineRule="auto"/>
              <w:ind w:right="13"/>
              <w:jc w:val="both"/>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备注：</w:t>
            </w:r>
          </w:p>
        </w:tc>
      </w:tr>
    </w:tbl>
    <w:p>
      <w:pPr>
        <w:spacing w:line="240" w:lineRule="auto"/>
        <w:rPr>
          <w:rFonts w:ascii="宋体" w:hAnsi="宋体" w:eastAsia="宋体" w:cs="宋体"/>
          <w:color w:val="auto"/>
          <w:spacing w:val="-2"/>
          <w:sz w:val="23"/>
          <w:szCs w:val="23"/>
          <w:highlight w:val="none"/>
        </w:rPr>
      </w:pPr>
    </w:p>
    <w:p>
      <w:pPr>
        <w:pStyle w:val="2"/>
        <w:spacing w:line="240" w:lineRule="auto"/>
        <w:rPr>
          <w:rFonts w:ascii="宋体" w:hAnsi="宋体" w:eastAsia="宋体" w:cs="宋体"/>
          <w:color w:val="auto"/>
          <w:spacing w:val="-2"/>
          <w:sz w:val="23"/>
          <w:szCs w:val="23"/>
          <w:highlight w:val="none"/>
        </w:rPr>
      </w:pPr>
    </w:p>
    <w:p>
      <w:pPr>
        <w:spacing w:before="89" w:line="240" w:lineRule="auto"/>
        <w:ind w:left="588"/>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注：报价应是最终招标人验收合格后的总价，包括完成本项目的一切费用。</w:t>
      </w:r>
    </w:p>
    <w:p>
      <w:pPr>
        <w:spacing w:before="76" w:line="240" w:lineRule="auto"/>
        <w:ind w:left="494" w:right="589" w:firstLine="1"/>
        <w:rPr>
          <w:rFonts w:ascii="宋体" w:hAnsi="宋体" w:eastAsia="宋体" w:cs="宋体"/>
          <w:color w:val="auto"/>
          <w:sz w:val="24"/>
          <w:szCs w:val="24"/>
          <w:highlight w:val="none"/>
        </w:rPr>
      </w:pPr>
    </w:p>
    <w:p>
      <w:pPr>
        <w:spacing w:before="76" w:line="240" w:lineRule="auto"/>
        <w:ind w:left="494" w:right="589" w:firstLine="1"/>
        <w:rPr>
          <w:rFonts w:ascii="宋体" w:hAnsi="宋体" w:eastAsia="宋体" w:cs="宋体"/>
          <w:color w:val="auto"/>
          <w:sz w:val="24"/>
          <w:szCs w:val="24"/>
          <w:highlight w:val="none"/>
        </w:rPr>
      </w:pPr>
    </w:p>
    <w:p>
      <w:pPr>
        <w:spacing w:before="76" w:line="240" w:lineRule="auto"/>
        <w:ind w:left="494" w:right="589" w:firstLine="1"/>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投标人名称：</w:t>
      </w:r>
      <w:r>
        <w:rPr>
          <w:rFonts w:ascii="宋体" w:hAnsi="宋体" w:eastAsia="宋体" w:cs="宋体"/>
          <w:color w:val="auto"/>
          <w:spacing w:val="-1"/>
          <w:sz w:val="24"/>
          <w:szCs w:val="24"/>
          <w:highlight w:val="none"/>
          <w:u w:val="single"/>
        </w:rPr>
        <w:t xml:space="preserve">        </w:t>
      </w:r>
      <w:r>
        <w:rPr>
          <w:rFonts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(盖单位公章)</w:t>
      </w:r>
      <w:r>
        <w:rPr>
          <w:rFonts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rPr>
        <w:t xml:space="preserve"> </w:t>
      </w:r>
    </w:p>
    <w:p>
      <w:pPr>
        <w:spacing w:before="77" w:line="240" w:lineRule="auto"/>
        <w:ind w:left="494"/>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法定代表人/单位负责人或授权代表(签字或加盖个人名章) ：</w:t>
      </w:r>
      <w:r>
        <w:rPr>
          <w:rFonts w:ascii="宋体" w:hAnsi="宋体" w:eastAsia="宋体" w:cs="宋体"/>
          <w:color w:val="auto"/>
          <w:sz w:val="24"/>
          <w:szCs w:val="24"/>
          <w:highlight w:val="none"/>
          <w:u w:val="single"/>
        </w:rPr>
        <w:t xml:space="preserve">        </w:t>
      </w:r>
    </w:p>
    <w:p>
      <w:pPr>
        <w:spacing w:before="78" w:line="240" w:lineRule="auto"/>
        <w:ind w:left="535"/>
        <w:rPr>
          <w:rFonts w:ascii="宋体" w:hAnsi="宋体" w:eastAsia="宋体" w:cs="宋体"/>
          <w:color w:val="auto"/>
          <w:sz w:val="23"/>
          <w:szCs w:val="23"/>
          <w:highlight w:val="none"/>
        </w:rPr>
      </w:pPr>
      <w:r>
        <w:rPr>
          <w:rFonts w:hint="eastAsia" w:ascii="宋体" w:hAnsi="宋体" w:eastAsia="宋体" w:cs="宋体"/>
          <w:color w:val="auto"/>
          <w:sz w:val="24"/>
          <w:szCs w:val="24"/>
          <w:highlight w:val="none"/>
        </w:rPr>
        <w:t>日    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pPr>
        <w:spacing w:before="78" w:line="240" w:lineRule="auto"/>
        <w:ind w:left="1313"/>
        <w:rPr>
          <w:rFonts w:ascii="宋体" w:hAnsi="宋体" w:eastAsia="宋体" w:cs="宋体"/>
          <w:color w:val="auto"/>
          <w:sz w:val="23"/>
          <w:szCs w:val="23"/>
          <w:highlight w:val="none"/>
        </w:rPr>
      </w:pPr>
    </w:p>
    <w:p>
      <w:pPr>
        <w:spacing w:line="240" w:lineRule="auto"/>
        <w:rPr>
          <w:rFonts w:ascii="宋体" w:hAnsi="宋体" w:eastAsia="宋体" w:cs="宋体"/>
          <w:color w:val="auto"/>
          <w:spacing w:val="-2"/>
          <w:sz w:val="23"/>
          <w:szCs w:val="23"/>
          <w:highlight w:val="none"/>
        </w:rPr>
      </w:pPr>
    </w:p>
    <w:p>
      <w:pPr>
        <w:pStyle w:val="2"/>
        <w:spacing w:line="240" w:lineRule="auto"/>
        <w:rPr>
          <w:rFonts w:ascii="宋体" w:hAnsi="宋体" w:eastAsia="宋体" w:cs="宋体"/>
          <w:color w:val="auto"/>
          <w:spacing w:val="-2"/>
          <w:sz w:val="23"/>
          <w:szCs w:val="23"/>
          <w:highlight w:val="none"/>
        </w:rPr>
      </w:pPr>
    </w:p>
    <w:p>
      <w:pPr>
        <w:spacing w:line="240" w:lineRule="auto"/>
        <w:rPr>
          <w:rFonts w:ascii="宋体" w:hAnsi="宋体" w:eastAsia="宋体" w:cs="宋体"/>
          <w:color w:val="auto"/>
          <w:spacing w:val="-2"/>
          <w:sz w:val="23"/>
          <w:szCs w:val="23"/>
          <w:highlight w:val="none"/>
        </w:rPr>
      </w:pPr>
    </w:p>
    <w:p>
      <w:pPr>
        <w:spacing w:line="240" w:lineRule="auto"/>
        <w:rPr>
          <w:rFonts w:ascii="宋体" w:hAnsi="宋体" w:eastAsia="宋体" w:cs="宋体"/>
          <w:color w:val="auto"/>
          <w:spacing w:val="-2"/>
          <w:sz w:val="23"/>
          <w:szCs w:val="23"/>
          <w:highlight w:val="none"/>
        </w:rPr>
      </w:pPr>
    </w:p>
    <w:p>
      <w:pPr>
        <w:spacing w:line="240" w:lineRule="auto"/>
        <w:rPr>
          <w:rFonts w:ascii="宋体" w:hAnsi="宋体" w:eastAsia="宋体" w:cs="宋体"/>
          <w:color w:val="auto"/>
          <w:spacing w:val="-2"/>
          <w:sz w:val="23"/>
          <w:szCs w:val="23"/>
          <w:highlight w:val="none"/>
        </w:rPr>
      </w:pPr>
    </w:p>
    <w:p>
      <w:pPr>
        <w:spacing w:line="240" w:lineRule="auto"/>
        <w:rPr>
          <w:rFonts w:ascii="宋体" w:hAnsi="宋体" w:eastAsia="宋体" w:cs="宋体"/>
          <w:color w:val="auto"/>
          <w:spacing w:val="-2"/>
          <w:sz w:val="23"/>
          <w:szCs w:val="23"/>
          <w:highlight w:val="none"/>
        </w:rPr>
      </w:pPr>
    </w:p>
    <w:p>
      <w:pPr>
        <w:spacing w:line="240" w:lineRule="auto"/>
        <w:rPr>
          <w:rFonts w:ascii="宋体" w:hAnsi="宋体" w:eastAsia="宋体" w:cs="宋体"/>
          <w:color w:val="auto"/>
          <w:spacing w:val="-2"/>
          <w:sz w:val="23"/>
          <w:szCs w:val="23"/>
          <w:highlight w:val="none"/>
        </w:rPr>
      </w:pPr>
    </w:p>
    <w:p>
      <w:pPr>
        <w:spacing w:line="240" w:lineRule="auto"/>
        <w:rPr>
          <w:rFonts w:ascii="宋体" w:hAnsi="宋体" w:eastAsia="宋体" w:cs="宋体"/>
          <w:color w:val="auto"/>
          <w:spacing w:val="-2"/>
          <w:sz w:val="23"/>
          <w:szCs w:val="23"/>
          <w:highlight w:val="none"/>
        </w:rPr>
      </w:pPr>
    </w:p>
    <w:p>
      <w:pPr>
        <w:spacing w:line="240" w:lineRule="auto"/>
        <w:rPr>
          <w:rFonts w:ascii="宋体" w:hAnsi="宋体" w:eastAsia="宋体" w:cs="宋体"/>
          <w:color w:val="auto"/>
          <w:spacing w:val="-2"/>
          <w:sz w:val="23"/>
          <w:szCs w:val="23"/>
          <w:highlight w:val="none"/>
        </w:rPr>
      </w:pPr>
    </w:p>
    <w:p>
      <w:pPr>
        <w:spacing w:line="240" w:lineRule="auto"/>
        <w:rPr>
          <w:color w:val="auto"/>
          <w:highlight w:val="none"/>
        </w:rPr>
      </w:pPr>
    </w:p>
    <w:p>
      <w:pPr>
        <w:spacing w:line="240" w:lineRule="auto"/>
        <w:rPr>
          <w:color w:val="auto"/>
          <w:highlight w:val="none"/>
        </w:rPr>
      </w:pPr>
    </w:p>
    <w:p>
      <w:pPr>
        <w:spacing w:line="240" w:lineRule="auto"/>
        <w:rPr>
          <w:color w:val="auto"/>
          <w:highlight w:val="none"/>
        </w:rPr>
        <w:sectPr>
          <w:headerReference r:id="rId19" w:type="default"/>
          <w:footerReference r:id="rId20" w:type="default"/>
          <w:pgSz w:w="11905" w:h="16838"/>
          <w:pgMar w:top="1417" w:right="1417" w:bottom="1417" w:left="1417" w:header="0" w:footer="1134" w:gutter="0"/>
          <w:cols w:space="425" w:num="1"/>
        </w:sectPr>
      </w:pPr>
      <w:r>
        <w:rPr>
          <w:color w:val="auto"/>
          <w:highlight w:val="none"/>
        </w:rPr>
        <w:br w:type="page"/>
      </w:r>
    </w:p>
    <w:p>
      <w:pPr>
        <w:spacing w:before="3" w:line="240" w:lineRule="auto"/>
        <w:ind w:right="13"/>
        <w:jc w:val="center"/>
        <w:outlineLvl w:val="9"/>
        <w:rPr>
          <w:rFonts w:hint="eastAsia" w:ascii="宋体" w:hAnsi="宋体" w:eastAsia="宋体" w:cs="宋体"/>
          <w:b/>
          <w:bCs/>
          <w:color w:val="auto"/>
          <w:sz w:val="32"/>
          <w:szCs w:val="32"/>
          <w:highlight w:val="none"/>
          <w:lang w:eastAsia="zh-CN"/>
        </w:rPr>
      </w:pPr>
      <w:bookmarkStart w:id="140" w:name="_Toc4952"/>
      <w:bookmarkStart w:id="141" w:name="_Toc2115"/>
      <w:r>
        <w:rPr>
          <w:rFonts w:hint="eastAsia" w:ascii="宋体" w:hAnsi="宋体" w:eastAsia="宋体" w:cs="宋体"/>
          <w:b/>
          <w:bCs/>
          <w:color w:val="auto"/>
          <w:sz w:val="32"/>
          <w:szCs w:val="32"/>
          <w:highlight w:val="none"/>
          <w:lang w:eastAsia="zh-CN"/>
        </w:rPr>
        <w:t>三</w:t>
      </w:r>
      <w:r>
        <w:rPr>
          <w:rFonts w:hint="eastAsia" w:ascii="宋体" w:hAnsi="宋体" w:eastAsia="宋体" w:cs="宋体"/>
          <w:b/>
          <w:bCs/>
          <w:color w:val="auto"/>
          <w:sz w:val="32"/>
          <w:szCs w:val="32"/>
          <w:highlight w:val="none"/>
        </w:rPr>
        <w:t>、中小企业声明函/监狱企业相关证明材料/残疾人福利性 单位声明函</w:t>
      </w:r>
    </w:p>
    <w:p>
      <w:pPr>
        <w:spacing w:before="3" w:line="240" w:lineRule="auto"/>
        <w:ind w:right="13"/>
        <w:jc w:val="center"/>
        <w:outlineLvl w:val="9"/>
        <w:rPr>
          <w:rFonts w:hint="default" w:ascii="宋体" w:hAnsi="宋体" w:eastAsia="宋体" w:cs="宋体"/>
          <w:b/>
          <w:bCs/>
          <w:color w:val="auto"/>
          <w:sz w:val="32"/>
          <w:szCs w:val="32"/>
          <w:highlight w:val="none"/>
          <w:lang w:val="en-US" w:eastAsia="zh-CN"/>
        </w:rPr>
      </w:pPr>
      <w:r>
        <w:rPr>
          <w:rFonts w:hint="eastAsia" w:ascii="宋体" w:hAnsi="宋体" w:eastAsia="宋体" w:cs="宋体"/>
          <w:b/>
          <w:bCs/>
          <w:color w:val="auto"/>
          <w:sz w:val="32"/>
          <w:szCs w:val="32"/>
          <w:highlight w:val="none"/>
          <w:lang w:val="en-US" w:eastAsia="zh-CN"/>
        </w:rPr>
        <w:t>3</w:t>
      </w:r>
      <w:r>
        <w:rPr>
          <w:rFonts w:hint="eastAsia" w:ascii="宋体" w:hAnsi="宋体" w:eastAsia="宋体" w:cs="宋体"/>
          <w:b/>
          <w:bCs/>
          <w:color w:val="auto"/>
          <w:sz w:val="32"/>
          <w:szCs w:val="32"/>
          <w:highlight w:val="none"/>
        </w:rPr>
        <w:t>-1 中小企业声明函（货物类）</w:t>
      </w:r>
    </w:p>
    <w:p>
      <w:pPr>
        <w:spacing w:line="240" w:lineRule="auto"/>
        <w:ind w:firstLine="480" w:firstLineChars="200"/>
        <w:rPr>
          <w:rFonts w:ascii="宋体" w:hAnsi="宋体" w:eastAsia="宋体" w:cs="宋体"/>
          <w:color w:val="auto"/>
          <w:sz w:val="24"/>
          <w:szCs w:val="24"/>
          <w:highlight w:val="none"/>
        </w:rPr>
      </w:pPr>
      <w:r>
        <w:rPr>
          <w:rFonts w:ascii="宋体" w:hAnsi="宋体" w:eastAsia="宋体" w:cs="宋体"/>
          <w:color w:val="auto"/>
          <w:sz w:val="24"/>
          <w:szCs w:val="24"/>
          <w:highlight w:val="none"/>
        </w:rPr>
        <w:t>中小企业声明函（货物） 本公司（联合体）郑重声明，根据《政府采购促进中小 企业发展管理办法》（财库﹝2020﹞46 号）的规定，本公司 （联合体）参加</w:t>
      </w:r>
      <w:r>
        <w:rPr>
          <w:rFonts w:ascii="宋体" w:hAnsi="宋体" w:eastAsia="宋体" w:cs="宋体"/>
          <w:color w:val="auto"/>
          <w:sz w:val="24"/>
          <w:szCs w:val="24"/>
          <w:highlight w:val="none"/>
          <w:u w:val="single"/>
        </w:rPr>
        <w:t>（单位名称）</w:t>
      </w:r>
      <w:r>
        <w:rPr>
          <w:rFonts w:ascii="宋体" w:hAnsi="宋体" w:eastAsia="宋体" w:cs="宋体"/>
          <w:color w:val="auto"/>
          <w:sz w:val="24"/>
          <w:szCs w:val="24"/>
          <w:highlight w:val="none"/>
        </w:rPr>
        <w:t>的</w:t>
      </w:r>
      <w:r>
        <w:rPr>
          <w:rFonts w:ascii="宋体" w:hAnsi="宋体" w:eastAsia="宋体" w:cs="宋体"/>
          <w:color w:val="auto"/>
          <w:sz w:val="24"/>
          <w:szCs w:val="24"/>
          <w:highlight w:val="none"/>
          <w:u w:val="single"/>
        </w:rPr>
        <w:t>（项目名称）</w:t>
      </w:r>
      <w:r>
        <w:rPr>
          <w:rFonts w:ascii="宋体" w:hAnsi="宋体" w:eastAsia="宋体" w:cs="宋体"/>
          <w:color w:val="auto"/>
          <w:sz w:val="24"/>
          <w:szCs w:val="24"/>
          <w:highlight w:val="none"/>
        </w:rPr>
        <w:t xml:space="preserve">采购活动，提供的货物全部由符合政策要求的中小企业制造。相关企业 （含联合体中的中小企业、签订分包意向协议的中小企业） 的具体情况如下： </w:t>
      </w:r>
    </w:p>
    <w:p>
      <w:pPr>
        <w:numPr>
          <w:ilvl w:val="0"/>
          <w:numId w:val="4"/>
        </w:numPr>
        <w:spacing w:line="240" w:lineRule="auto"/>
        <w:ind w:firstLine="480" w:firstLineChars="200"/>
        <w:rPr>
          <w:rFonts w:ascii="宋体" w:hAnsi="宋体" w:eastAsia="宋体" w:cs="宋体"/>
          <w:color w:val="auto"/>
          <w:sz w:val="24"/>
          <w:szCs w:val="24"/>
          <w:highlight w:val="none"/>
        </w:rPr>
      </w:pPr>
      <w:r>
        <w:rPr>
          <w:rFonts w:ascii="宋体" w:hAnsi="宋体" w:eastAsia="宋体" w:cs="宋体"/>
          <w:color w:val="auto"/>
          <w:sz w:val="24"/>
          <w:szCs w:val="24"/>
          <w:highlight w:val="none"/>
          <w:u w:val="single"/>
        </w:rPr>
        <w:t>（标的名称）</w:t>
      </w:r>
      <w:r>
        <w:rPr>
          <w:rFonts w:ascii="宋体" w:hAnsi="宋体" w:eastAsia="宋体" w:cs="宋体"/>
          <w:color w:val="auto"/>
          <w:sz w:val="24"/>
          <w:szCs w:val="24"/>
          <w:highlight w:val="none"/>
        </w:rPr>
        <w:t xml:space="preserve"> ，属于（</w:t>
      </w:r>
      <w:r>
        <w:rPr>
          <w:rFonts w:ascii="宋体" w:hAnsi="宋体" w:eastAsia="宋体" w:cs="宋体"/>
          <w:color w:val="auto"/>
          <w:sz w:val="24"/>
          <w:szCs w:val="24"/>
          <w:highlight w:val="none"/>
          <w:u w:val="single"/>
        </w:rPr>
        <w:t xml:space="preserve">采购文件中明确的所属行业） </w:t>
      </w:r>
      <w:r>
        <w:rPr>
          <w:rFonts w:ascii="宋体" w:hAnsi="宋体" w:eastAsia="宋体" w:cs="宋体"/>
          <w:color w:val="auto"/>
          <w:sz w:val="24"/>
          <w:szCs w:val="24"/>
          <w:highlight w:val="none"/>
        </w:rPr>
        <w:t>行业；制造商为</w:t>
      </w:r>
      <w:r>
        <w:rPr>
          <w:rFonts w:ascii="宋体" w:hAnsi="宋体" w:eastAsia="宋体" w:cs="宋体"/>
          <w:color w:val="auto"/>
          <w:sz w:val="24"/>
          <w:szCs w:val="24"/>
          <w:highlight w:val="none"/>
          <w:u w:val="single"/>
        </w:rPr>
        <w:t>（企业名称）</w:t>
      </w:r>
      <w:r>
        <w:rPr>
          <w:rFonts w:ascii="宋体" w:hAnsi="宋体" w:eastAsia="宋体" w:cs="宋体"/>
          <w:color w:val="auto"/>
          <w:sz w:val="24"/>
          <w:szCs w:val="24"/>
          <w:highlight w:val="none"/>
        </w:rPr>
        <w:t>，从业人员</w:t>
      </w:r>
      <w:r>
        <w:rPr>
          <w:rFonts w:ascii="宋体" w:hAnsi="宋体" w:eastAsia="宋体" w:cs="宋体"/>
          <w:color w:val="auto"/>
          <w:sz w:val="24"/>
          <w:szCs w:val="24"/>
          <w:highlight w:val="none"/>
          <w:u w:val="single"/>
        </w:rPr>
        <w:t xml:space="preserve"> </w:t>
      </w:r>
      <w:r>
        <w:rPr>
          <w:rFonts w:ascii="宋体" w:hAnsi="宋体" w:eastAsia="宋体" w:cs="宋体"/>
          <w:color w:val="auto"/>
          <w:sz w:val="24"/>
          <w:szCs w:val="24"/>
          <w:highlight w:val="none"/>
        </w:rPr>
        <w:t>人，营业收入为</w:t>
      </w:r>
      <w:r>
        <w:rPr>
          <w:rFonts w:ascii="宋体" w:hAnsi="宋体" w:eastAsia="宋体" w:cs="宋体"/>
          <w:color w:val="auto"/>
          <w:sz w:val="24"/>
          <w:szCs w:val="24"/>
          <w:highlight w:val="none"/>
          <w:u w:val="single"/>
        </w:rPr>
        <w:t xml:space="preserve"> </w:t>
      </w:r>
      <w:r>
        <w:rPr>
          <w:rFonts w:ascii="宋体" w:hAnsi="宋体" w:eastAsia="宋体" w:cs="宋体"/>
          <w:color w:val="auto"/>
          <w:sz w:val="24"/>
          <w:szCs w:val="24"/>
          <w:highlight w:val="none"/>
        </w:rPr>
        <w:t>万元，资产总额为</w:t>
      </w:r>
      <w:r>
        <w:rPr>
          <w:rFonts w:ascii="宋体" w:hAnsi="宋体" w:eastAsia="宋体" w:cs="宋体"/>
          <w:color w:val="auto"/>
          <w:sz w:val="24"/>
          <w:szCs w:val="24"/>
          <w:highlight w:val="none"/>
          <w:u w:val="single"/>
        </w:rPr>
        <w:t xml:space="preserve"> </w:t>
      </w:r>
      <w:r>
        <w:rPr>
          <w:rFonts w:ascii="宋体" w:hAnsi="宋体" w:eastAsia="宋体" w:cs="宋体"/>
          <w:color w:val="auto"/>
          <w:sz w:val="24"/>
          <w:szCs w:val="24"/>
          <w:highlight w:val="none"/>
        </w:rPr>
        <w:t>万元，属于</w:t>
      </w:r>
      <w:r>
        <w:rPr>
          <w:rFonts w:ascii="宋体" w:hAnsi="宋体" w:eastAsia="宋体" w:cs="宋体"/>
          <w:color w:val="auto"/>
          <w:sz w:val="24"/>
          <w:szCs w:val="24"/>
          <w:highlight w:val="none"/>
          <w:u w:val="single"/>
        </w:rPr>
        <w:t>（中型企业、小 型企业、微型企业）</w:t>
      </w:r>
      <w:r>
        <w:rPr>
          <w:rFonts w:ascii="宋体" w:hAnsi="宋体" w:eastAsia="宋体" w:cs="宋体"/>
          <w:color w:val="auto"/>
          <w:sz w:val="24"/>
          <w:szCs w:val="24"/>
          <w:highlight w:val="none"/>
        </w:rPr>
        <w:t xml:space="preserve">； </w:t>
      </w:r>
    </w:p>
    <w:p>
      <w:pPr>
        <w:numPr>
          <w:ilvl w:val="0"/>
          <w:numId w:val="4"/>
        </w:numPr>
        <w:spacing w:line="240" w:lineRule="auto"/>
        <w:ind w:firstLine="480" w:firstLineChars="200"/>
        <w:rPr>
          <w:rFonts w:ascii="宋体" w:hAnsi="宋体" w:eastAsia="宋体" w:cs="宋体"/>
          <w:color w:val="auto"/>
          <w:sz w:val="24"/>
          <w:szCs w:val="24"/>
          <w:highlight w:val="none"/>
        </w:rPr>
      </w:pPr>
      <w:r>
        <w:rPr>
          <w:rFonts w:ascii="宋体" w:hAnsi="宋体" w:eastAsia="宋体" w:cs="宋体"/>
          <w:color w:val="auto"/>
          <w:sz w:val="24"/>
          <w:szCs w:val="24"/>
          <w:highlight w:val="none"/>
          <w:u w:val="single"/>
        </w:rPr>
        <w:t>（标的名称）</w:t>
      </w:r>
      <w:r>
        <w:rPr>
          <w:rFonts w:ascii="宋体" w:hAnsi="宋体" w:eastAsia="宋体" w:cs="宋体"/>
          <w:color w:val="auto"/>
          <w:sz w:val="24"/>
          <w:szCs w:val="24"/>
          <w:highlight w:val="none"/>
        </w:rPr>
        <w:t xml:space="preserve"> ，属于</w:t>
      </w:r>
      <w:r>
        <w:rPr>
          <w:rFonts w:ascii="宋体" w:hAnsi="宋体" w:eastAsia="宋体" w:cs="宋体"/>
          <w:color w:val="auto"/>
          <w:sz w:val="24"/>
          <w:szCs w:val="24"/>
          <w:highlight w:val="none"/>
          <w:u w:val="single"/>
        </w:rPr>
        <w:t>（采购文件中明确的所属行业）</w:t>
      </w:r>
      <w:r>
        <w:rPr>
          <w:rFonts w:ascii="宋体" w:hAnsi="宋体" w:eastAsia="宋体" w:cs="宋体"/>
          <w:color w:val="auto"/>
          <w:sz w:val="24"/>
          <w:szCs w:val="24"/>
          <w:highlight w:val="none"/>
        </w:rPr>
        <w:t xml:space="preserve"> 行业；制造商为（</w:t>
      </w:r>
      <w:r>
        <w:rPr>
          <w:rFonts w:ascii="宋体" w:hAnsi="宋体" w:eastAsia="宋体" w:cs="宋体"/>
          <w:color w:val="auto"/>
          <w:sz w:val="24"/>
          <w:szCs w:val="24"/>
          <w:highlight w:val="none"/>
          <w:u w:val="single"/>
        </w:rPr>
        <w:t>企业名称）</w:t>
      </w:r>
      <w:r>
        <w:rPr>
          <w:rFonts w:ascii="宋体" w:hAnsi="宋体" w:eastAsia="宋体" w:cs="宋体"/>
          <w:color w:val="auto"/>
          <w:sz w:val="24"/>
          <w:szCs w:val="24"/>
          <w:highlight w:val="none"/>
        </w:rPr>
        <w:t>，从业人员</w:t>
      </w:r>
      <w:r>
        <w:rPr>
          <w:rFonts w:ascii="宋体" w:hAnsi="宋体" w:eastAsia="宋体" w:cs="宋体"/>
          <w:color w:val="auto"/>
          <w:sz w:val="24"/>
          <w:szCs w:val="24"/>
          <w:highlight w:val="none"/>
          <w:u w:val="single"/>
        </w:rPr>
        <w:t xml:space="preserve"> </w:t>
      </w:r>
      <w:r>
        <w:rPr>
          <w:rFonts w:ascii="宋体" w:hAnsi="宋体" w:eastAsia="宋体" w:cs="宋体"/>
          <w:color w:val="auto"/>
          <w:sz w:val="24"/>
          <w:szCs w:val="24"/>
          <w:highlight w:val="none"/>
        </w:rPr>
        <w:t>人，营业收入为</w:t>
      </w:r>
      <w:r>
        <w:rPr>
          <w:rFonts w:ascii="宋体" w:hAnsi="宋体" w:eastAsia="宋体" w:cs="宋体"/>
          <w:color w:val="auto"/>
          <w:sz w:val="24"/>
          <w:szCs w:val="24"/>
          <w:highlight w:val="none"/>
          <w:u w:val="single"/>
        </w:rPr>
        <w:t xml:space="preserve"> </w:t>
      </w:r>
      <w:r>
        <w:rPr>
          <w:rFonts w:ascii="宋体" w:hAnsi="宋体" w:eastAsia="宋体" w:cs="宋体"/>
          <w:color w:val="auto"/>
          <w:sz w:val="24"/>
          <w:szCs w:val="24"/>
          <w:highlight w:val="none"/>
        </w:rPr>
        <w:t>万元，资产总额为</w:t>
      </w:r>
      <w:r>
        <w:rPr>
          <w:rFonts w:ascii="宋体" w:hAnsi="宋体" w:eastAsia="宋体" w:cs="宋体"/>
          <w:color w:val="auto"/>
          <w:sz w:val="24"/>
          <w:szCs w:val="24"/>
          <w:highlight w:val="none"/>
          <w:u w:val="single"/>
        </w:rPr>
        <w:t xml:space="preserve"> </w:t>
      </w:r>
      <w:r>
        <w:rPr>
          <w:rFonts w:ascii="宋体" w:hAnsi="宋体" w:eastAsia="宋体" w:cs="宋体"/>
          <w:color w:val="auto"/>
          <w:sz w:val="24"/>
          <w:szCs w:val="24"/>
          <w:highlight w:val="none"/>
        </w:rPr>
        <w:t>万元，属于</w:t>
      </w:r>
      <w:r>
        <w:rPr>
          <w:rFonts w:ascii="宋体" w:hAnsi="宋体" w:eastAsia="宋体" w:cs="宋体"/>
          <w:color w:val="auto"/>
          <w:sz w:val="24"/>
          <w:szCs w:val="24"/>
          <w:highlight w:val="none"/>
          <w:u w:val="single"/>
        </w:rPr>
        <w:t>（中型企业、小型 企业、微型企业）</w:t>
      </w:r>
      <w:r>
        <w:rPr>
          <w:rFonts w:ascii="宋体" w:hAnsi="宋体" w:eastAsia="宋体" w:cs="宋体"/>
          <w:color w:val="auto"/>
          <w:sz w:val="24"/>
          <w:szCs w:val="24"/>
          <w:highlight w:val="none"/>
        </w:rPr>
        <w:t xml:space="preserve">； </w:t>
      </w:r>
    </w:p>
    <w:p>
      <w:pPr>
        <w:spacing w:line="240" w:lineRule="auto"/>
        <w:ind w:firstLine="480" w:firstLineChars="200"/>
        <w:rPr>
          <w:rFonts w:ascii="宋体" w:hAnsi="宋体" w:eastAsia="宋体" w:cs="宋体"/>
          <w:color w:val="auto"/>
          <w:sz w:val="24"/>
          <w:szCs w:val="24"/>
          <w:highlight w:val="none"/>
        </w:rPr>
      </w:pPr>
      <w:r>
        <w:rPr>
          <w:rFonts w:ascii="宋体" w:hAnsi="宋体" w:eastAsia="宋体" w:cs="宋体"/>
          <w:color w:val="auto"/>
          <w:sz w:val="24"/>
          <w:szCs w:val="24"/>
          <w:highlight w:val="none"/>
        </w:rPr>
        <w:t>……</w:t>
      </w:r>
    </w:p>
    <w:p>
      <w:pPr>
        <w:spacing w:line="240" w:lineRule="auto"/>
        <w:ind w:firstLine="480" w:firstLineChars="200"/>
        <w:rPr>
          <w:color w:val="auto"/>
          <w:highlight w:val="none"/>
        </w:rPr>
      </w:pPr>
      <w:r>
        <w:rPr>
          <w:rFonts w:ascii="宋体" w:hAnsi="宋体" w:eastAsia="宋体" w:cs="宋体"/>
          <w:color w:val="auto"/>
          <w:sz w:val="24"/>
          <w:szCs w:val="24"/>
          <w:highlight w:val="none"/>
        </w:rPr>
        <w:t xml:space="preserve"> 以上企业，不属于大企业的分支机构，不存在控股股东为大企业的情形，也不存在与大企业的负责人为同一人的情形。 本企业对上述声明内容的真实性负责。如有虚假，将依法承担相应责任。</w:t>
      </w:r>
    </w:p>
    <w:p>
      <w:pPr>
        <w:spacing w:before="76" w:line="240" w:lineRule="auto"/>
        <w:ind w:left="494" w:right="589" w:firstLine="1"/>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企业名称：</w:t>
      </w:r>
      <w:r>
        <w:rPr>
          <w:rFonts w:ascii="宋体" w:hAnsi="宋体" w:eastAsia="宋体" w:cs="宋体"/>
          <w:color w:val="auto"/>
          <w:spacing w:val="-1"/>
          <w:sz w:val="24"/>
          <w:szCs w:val="24"/>
          <w:highlight w:val="none"/>
          <w:u w:val="single"/>
        </w:rPr>
        <w:t xml:space="preserve">        </w:t>
      </w:r>
      <w:r>
        <w:rPr>
          <w:rFonts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(盖章)</w:t>
      </w:r>
      <w:r>
        <w:rPr>
          <w:rFonts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rPr>
        <w:t xml:space="preserve"> </w:t>
      </w:r>
    </w:p>
    <w:p>
      <w:pPr>
        <w:spacing w:before="78" w:line="240" w:lineRule="auto"/>
        <w:ind w:left="535"/>
        <w:rPr>
          <w:rFonts w:ascii="宋体" w:hAnsi="宋体" w:eastAsia="宋体" w:cs="宋体"/>
          <w:color w:val="auto"/>
          <w:sz w:val="23"/>
          <w:szCs w:val="23"/>
          <w:highlight w:val="none"/>
        </w:rPr>
      </w:pPr>
      <w:r>
        <w:rPr>
          <w:rFonts w:hint="eastAsia" w:ascii="宋体" w:hAnsi="宋体" w:eastAsia="宋体" w:cs="宋体"/>
          <w:color w:val="auto"/>
          <w:sz w:val="24"/>
          <w:szCs w:val="24"/>
          <w:highlight w:val="none"/>
        </w:rPr>
        <w:t>日    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pPr>
        <w:spacing w:line="240" w:lineRule="auto"/>
        <w:rPr>
          <w:color w:val="auto"/>
          <w:highlight w:val="none"/>
        </w:rPr>
      </w:pPr>
    </w:p>
    <w:p>
      <w:pPr>
        <w:spacing w:before="3" w:line="240" w:lineRule="auto"/>
        <w:ind w:left="23" w:right="13" w:firstLine="482"/>
        <w:rPr>
          <w:rFonts w:ascii="宋体" w:hAnsi="宋体" w:eastAsia="宋体" w:cs="宋体"/>
          <w:b/>
          <w:bCs/>
          <w:color w:val="auto"/>
          <w:sz w:val="23"/>
          <w:szCs w:val="23"/>
          <w:highlight w:val="none"/>
        </w:rPr>
      </w:pPr>
    </w:p>
    <w:p>
      <w:pPr>
        <w:spacing w:before="3" w:line="240" w:lineRule="auto"/>
        <w:ind w:left="23" w:right="13" w:firstLine="482"/>
        <w:rPr>
          <w:rFonts w:ascii="宋体" w:hAnsi="宋体" w:eastAsia="宋体" w:cs="宋体"/>
          <w:b/>
          <w:bCs/>
          <w:color w:val="auto"/>
          <w:sz w:val="23"/>
          <w:szCs w:val="23"/>
          <w:highlight w:val="none"/>
        </w:rPr>
      </w:pPr>
    </w:p>
    <w:p>
      <w:pPr>
        <w:spacing w:before="3" w:line="240" w:lineRule="auto"/>
        <w:ind w:left="23" w:right="13" w:firstLine="482"/>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注：1.从业人员、营业收入、资产总额填报上一年度数据，无上一年度数据的新成立企业可不填报。</w:t>
      </w:r>
    </w:p>
    <w:p>
      <w:pPr>
        <w:spacing w:before="3" w:line="240" w:lineRule="auto"/>
        <w:ind w:left="23" w:right="13" w:firstLine="482"/>
        <w:rPr>
          <w:rFonts w:ascii="宋体" w:hAnsi="宋体" w:eastAsia="宋体" w:cs="宋体"/>
          <w:b/>
          <w:bCs/>
          <w:color w:val="auto"/>
          <w:sz w:val="23"/>
          <w:szCs w:val="23"/>
          <w:highlight w:val="none"/>
        </w:rPr>
      </w:pPr>
      <w:r>
        <w:rPr>
          <w:rFonts w:hint="eastAsia" w:ascii="宋体" w:hAnsi="宋体" w:eastAsia="宋体" w:cs="宋体"/>
          <w:b/>
          <w:bCs/>
          <w:color w:val="auto"/>
          <w:sz w:val="24"/>
          <w:szCs w:val="24"/>
          <w:highlight w:val="none"/>
        </w:rPr>
        <w:t>2.本项目标的名称、所属行业详见第二章投标人须知附表。</w:t>
      </w:r>
    </w:p>
    <w:p>
      <w:pPr>
        <w:spacing w:line="240" w:lineRule="auto"/>
        <w:rPr>
          <w:color w:val="auto"/>
          <w:highlight w:val="none"/>
        </w:rPr>
        <w:sectPr>
          <w:headerReference r:id="rId21" w:type="default"/>
          <w:footerReference r:id="rId22" w:type="default"/>
          <w:pgSz w:w="11905" w:h="16838"/>
          <w:pgMar w:top="1417" w:right="1417" w:bottom="1417" w:left="1417" w:header="0" w:footer="1134" w:gutter="0"/>
          <w:cols w:space="425" w:num="1"/>
        </w:sectPr>
      </w:pPr>
    </w:p>
    <w:p>
      <w:pPr>
        <w:spacing w:before="3" w:line="240" w:lineRule="auto"/>
        <w:ind w:right="13"/>
        <w:jc w:val="center"/>
        <w:outlineLvl w:val="9"/>
        <w:rPr>
          <w:rFonts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lang w:val="en-US" w:eastAsia="zh-CN"/>
        </w:rPr>
        <w:t>3</w:t>
      </w:r>
      <w:r>
        <w:rPr>
          <w:rFonts w:hint="eastAsia" w:ascii="宋体" w:hAnsi="宋体" w:eastAsia="宋体" w:cs="宋体"/>
          <w:b/>
          <w:bCs/>
          <w:color w:val="auto"/>
          <w:sz w:val="32"/>
          <w:szCs w:val="32"/>
          <w:highlight w:val="none"/>
        </w:rPr>
        <w:t>-2 监狱企业相关证明材料</w:t>
      </w:r>
    </w:p>
    <w:p>
      <w:pPr>
        <w:spacing w:line="240" w:lineRule="auto"/>
        <w:ind w:left="23" w:firstLine="482"/>
        <w:rPr>
          <w:rFonts w:ascii="宋体" w:hAnsi="宋体" w:eastAsia="宋体" w:cs="宋体"/>
          <w:color w:val="auto"/>
          <w:sz w:val="23"/>
          <w:szCs w:val="23"/>
          <w:highlight w:val="none"/>
        </w:rPr>
      </w:pPr>
    </w:p>
    <w:p>
      <w:pPr>
        <w:spacing w:line="240" w:lineRule="auto"/>
        <w:ind w:left="23" w:firstLine="482"/>
        <w:rPr>
          <w:rFonts w:ascii="宋体" w:hAnsi="宋体" w:eastAsia="宋体" w:cs="宋体"/>
          <w:color w:val="auto"/>
          <w:sz w:val="23"/>
          <w:szCs w:val="23"/>
          <w:highlight w:val="none"/>
        </w:rPr>
      </w:pPr>
    </w:p>
    <w:p>
      <w:pPr>
        <w:spacing w:line="240" w:lineRule="auto"/>
        <w:ind w:left="23" w:firstLine="482"/>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注：</w:t>
      </w:r>
    </w:p>
    <w:p>
      <w:pPr>
        <w:spacing w:line="240" w:lineRule="auto"/>
        <w:ind w:left="23" w:firstLine="482"/>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根据《财政部司法部关于政府采购支持监狱企业发展有关问题的通知》财库〔2014〕68号文的规定，监狱企业参加采购活动时，应当提供由省级以上监狱管理局、戒毒管理局（含新疆生产建设兵团）出具的属于监狱企业的证明文件。</w:t>
      </w:r>
    </w:p>
    <w:p>
      <w:pPr>
        <w:spacing w:line="240" w:lineRule="auto"/>
        <w:ind w:left="23" w:firstLine="482"/>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 在采购活动中，监狱企业视同小型、微型企业，享受预留份额、评审中价格扣除等政府采购促进中小企业发展的政府采购政策。</w:t>
      </w:r>
    </w:p>
    <w:p>
      <w:pPr>
        <w:spacing w:line="240" w:lineRule="auto"/>
        <w:ind w:left="23" w:firstLine="482"/>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3.如未提供监狱企业相关证明材料的，则不能享受采购文件规定的价格扣除，但不影响供应商文件的有效性。</w:t>
      </w:r>
    </w:p>
    <w:p>
      <w:pPr>
        <w:spacing w:line="240" w:lineRule="auto"/>
        <w:ind w:left="23" w:firstLine="482"/>
        <w:rPr>
          <w:rFonts w:ascii="宋体" w:hAnsi="宋体" w:eastAsia="宋体" w:cs="宋体"/>
          <w:color w:val="auto"/>
          <w:sz w:val="23"/>
          <w:szCs w:val="23"/>
          <w:highlight w:val="none"/>
        </w:rPr>
      </w:pPr>
      <w:r>
        <w:rPr>
          <w:rFonts w:hint="eastAsia" w:ascii="宋体" w:hAnsi="宋体" w:eastAsia="宋体" w:cs="宋体"/>
          <w:color w:val="auto"/>
          <w:sz w:val="24"/>
          <w:szCs w:val="24"/>
          <w:highlight w:val="none"/>
        </w:rPr>
        <w:t>4.非监狱企业参加本次采购活动，无需提供本证明材料。</w:t>
      </w:r>
    </w:p>
    <w:p>
      <w:pPr>
        <w:spacing w:line="240" w:lineRule="auto"/>
        <w:rPr>
          <w:color w:val="auto"/>
          <w:highlight w:val="none"/>
        </w:rPr>
        <w:sectPr>
          <w:headerReference r:id="rId23" w:type="default"/>
          <w:footerReference r:id="rId24" w:type="default"/>
          <w:pgSz w:w="11905" w:h="16838"/>
          <w:pgMar w:top="1417" w:right="1417" w:bottom="1417" w:left="1417" w:header="0" w:footer="1134" w:gutter="0"/>
          <w:cols w:space="425" w:num="1"/>
        </w:sectPr>
      </w:pPr>
    </w:p>
    <w:p>
      <w:pPr>
        <w:spacing w:before="3" w:line="240" w:lineRule="auto"/>
        <w:ind w:right="13"/>
        <w:jc w:val="center"/>
        <w:outlineLvl w:val="9"/>
        <w:rPr>
          <w:rFonts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lang w:val="en-US" w:eastAsia="zh-CN"/>
        </w:rPr>
        <w:t>3</w:t>
      </w:r>
      <w:r>
        <w:rPr>
          <w:rFonts w:hint="eastAsia" w:ascii="宋体" w:hAnsi="宋体" w:eastAsia="宋体" w:cs="宋体"/>
          <w:b/>
          <w:bCs/>
          <w:color w:val="auto"/>
          <w:sz w:val="32"/>
          <w:szCs w:val="32"/>
          <w:highlight w:val="none"/>
        </w:rPr>
        <w:t>-3 残疾人福利性单位声明函</w:t>
      </w:r>
    </w:p>
    <w:p>
      <w:pPr>
        <w:spacing w:line="240" w:lineRule="auto"/>
        <w:rPr>
          <w:color w:val="auto"/>
          <w:highlight w:val="none"/>
        </w:rPr>
      </w:pPr>
    </w:p>
    <w:p>
      <w:pPr>
        <w:spacing w:line="240" w:lineRule="auto"/>
        <w:rPr>
          <w:color w:val="auto"/>
          <w:highlight w:val="none"/>
        </w:rPr>
      </w:pPr>
    </w:p>
    <w:p>
      <w:pPr>
        <w:spacing w:line="240" w:lineRule="auto"/>
        <w:rPr>
          <w:color w:val="auto"/>
          <w:highlight w:val="none"/>
        </w:rPr>
      </w:pPr>
    </w:p>
    <w:p>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本单位郑重声明，根据《财政部 民政部 中国残疾人联合会关于促进残疾人就业政府采购政策的通知》（财库</w:t>
      </w:r>
      <w:r>
        <w:rPr>
          <w:rFonts w:hint="eastAsia" w:ascii="宋体" w:hAnsi="宋体" w:eastAsia="宋体" w:cs="宋体"/>
          <w:color w:val="auto"/>
          <w:sz w:val="24"/>
          <w:szCs w:val="24"/>
          <w:highlight w:val="none"/>
        </w:rPr>
        <w:t>〔2017〕141</w:t>
      </w:r>
      <w:r>
        <w:rPr>
          <w:rFonts w:hint="eastAsia" w:ascii="宋体" w:hAnsi="宋体" w:eastAsia="宋体" w:cs="宋体"/>
          <w:color w:val="auto"/>
          <w:spacing w:val="6"/>
          <w:sz w:val="24"/>
          <w:szCs w:val="24"/>
          <w:highlight w:val="none"/>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pPr>
        <w:spacing w:line="240" w:lineRule="auto"/>
        <w:ind w:firstLine="504" w:firstLineChars="200"/>
        <w:rPr>
          <w:rFonts w:ascii="宋体" w:hAnsi="宋体" w:eastAsia="宋体" w:cs="宋体"/>
          <w:color w:val="auto"/>
          <w:sz w:val="23"/>
          <w:szCs w:val="23"/>
          <w:highlight w:val="none"/>
        </w:rPr>
      </w:pPr>
      <w:r>
        <w:rPr>
          <w:rFonts w:hint="eastAsia" w:ascii="宋体" w:hAnsi="宋体" w:eastAsia="宋体" w:cs="宋体"/>
          <w:color w:val="auto"/>
          <w:spacing w:val="6"/>
          <w:sz w:val="24"/>
          <w:szCs w:val="24"/>
          <w:highlight w:val="none"/>
        </w:rPr>
        <w:t>本单位对上述声明的真实性负责。如有虚假，将依法承担相应责任。</w:t>
      </w:r>
    </w:p>
    <w:p>
      <w:pPr>
        <w:spacing w:line="240" w:lineRule="auto"/>
        <w:ind w:left="23" w:firstLine="482"/>
        <w:jc w:val="right"/>
        <w:rPr>
          <w:rFonts w:ascii="宋体" w:hAnsi="宋体" w:eastAsia="宋体" w:cs="宋体"/>
          <w:color w:val="auto"/>
          <w:sz w:val="23"/>
          <w:szCs w:val="23"/>
          <w:highlight w:val="none"/>
        </w:rPr>
      </w:pPr>
    </w:p>
    <w:p>
      <w:pPr>
        <w:spacing w:line="240" w:lineRule="auto"/>
        <w:rPr>
          <w:color w:val="auto"/>
          <w:highlight w:val="none"/>
        </w:rPr>
      </w:pPr>
    </w:p>
    <w:p>
      <w:pPr>
        <w:spacing w:line="240" w:lineRule="auto"/>
        <w:rPr>
          <w:color w:val="auto"/>
          <w:highlight w:val="none"/>
        </w:rPr>
      </w:pPr>
    </w:p>
    <w:p>
      <w:pPr>
        <w:spacing w:line="240" w:lineRule="auto"/>
        <w:rPr>
          <w:color w:val="auto"/>
          <w:highlight w:val="none"/>
        </w:rPr>
      </w:pPr>
    </w:p>
    <w:p>
      <w:pPr>
        <w:spacing w:line="240" w:lineRule="auto"/>
        <w:jc w:val="right"/>
        <w:rPr>
          <w:rFonts w:ascii="宋体" w:hAnsi="宋体" w:eastAsia="宋体" w:cs="宋体"/>
          <w:color w:val="auto"/>
          <w:sz w:val="24"/>
          <w:highlight w:val="none"/>
        </w:rPr>
      </w:pPr>
      <w:r>
        <w:rPr>
          <w:rFonts w:hint="eastAsia" w:ascii="宋体" w:hAnsi="宋体" w:eastAsia="宋体" w:cs="宋体"/>
          <w:color w:val="auto"/>
          <w:sz w:val="24"/>
          <w:highlight w:val="none"/>
        </w:rPr>
        <w:t>单位名称：</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（盖单位公章）</w:t>
      </w:r>
    </w:p>
    <w:p>
      <w:pPr>
        <w:spacing w:line="240" w:lineRule="auto"/>
        <w:jc w:val="center"/>
        <w:rPr>
          <w:rFonts w:ascii="宋体" w:hAnsi="宋体" w:eastAsia="宋体" w:cs="宋体"/>
          <w:b/>
          <w:bCs/>
          <w:color w:val="auto"/>
          <w:sz w:val="24"/>
          <w:highlight w:val="none"/>
        </w:rPr>
      </w:pPr>
      <w:r>
        <w:rPr>
          <w:rFonts w:hint="eastAsia" w:ascii="宋体" w:hAnsi="宋体" w:eastAsia="宋体" w:cs="宋体"/>
          <w:color w:val="auto"/>
          <w:sz w:val="24"/>
          <w:highlight w:val="none"/>
        </w:rPr>
        <w:t xml:space="preserve">                           日  期：</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日</w:t>
      </w:r>
    </w:p>
    <w:p>
      <w:pPr>
        <w:spacing w:line="240" w:lineRule="auto"/>
        <w:rPr>
          <w:color w:val="auto"/>
          <w:highlight w:val="none"/>
        </w:rPr>
        <w:sectPr>
          <w:headerReference r:id="rId25" w:type="default"/>
          <w:footerReference r:id="rId26" w:type="default"/>
          <w:pgSz w:w="11905" w:h="16838"/>
          <w:pgMar w:top="1417" w:right="1417" w:bottom="1417" w:left="1417" w:header="0" w:footer="1134" w:gutter="0"/>
          <w:cols w:space="425" w:num="1"/>
        </w:sectPr>
      </w:pPr>
    </w:p>
    <w:p>
      <w:pPr>
        <w:spacing w:before="3" w:line="240" w:lineRule="auto"/>
        <w:ind w:right="13"/>
        <w:jc w:val="center"/>
        <w:outlineLvl w:val="9"/>
        <w:rPr>
          <w:rFonts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lang w:eastAsia="zh-CN"/>
        </w:rPr>
        <w:t>四</w:t>
      </w:r>
      <w:r>
        <w:rPr>
          <w:rFonts w:hint="eastAsia" w:ascii="宋体" w:hAnsi="宋体" w:eastAsia="宋体" w:cs="宋体"/>
          <w:b/>
          <w:bCs/>
          <w:color w:val="auto"/>
          <w:sz w:val="32"/>
          <w:szCs w:val="32"/>
          <w:highlight w:val="none"/>
        </w:rPr>
        <w:t>、商务应答表</w:t>
      </w:r>
      <w:bookmarkEnd w:id="140"/>
      <w:bookmarkEnd w:id="141"/>
    </w:p>
    <w:p>
      <w:pPr>
        <w:spacing w:line="240" w:lineRule="auto"/>
        <w:rPr>
          <w:color w:val="auto"/>
          <w:highlight w:val="none"/>
        </w:rPr>
      </w:pPr>
    </w:p>
    <w:p>
      <w:pPr>
        <w:spacing w:before="75" w:line="240" w:lineRule="auto"/>
        <w:rPr>
          <w:rFonts w:ascii="宋体" w:hAnsi="宋体" w:eastAsia="宋体" w:cs="宋体"/>
          <w:color w:val="auto"/>
          <w:sz w:val="23"/>
          <w:szCs w:val="23"/>
          <w:highlight w:val="none"/>
          <w:u w:val="single"/>
        </w:rPr>
      </w:pPr>
      <w:r>
        <w:rPr>
          <w:rFonts w:hint="eastAsia" w:ascii="宋体" w:hAnsi="宋体" w:eastAsia="宋体" w:cs="宋体"/>
          <w:color w:val="auto"/>
          <w:spacing w:val="6"/>
          <w:sz w:val="24"/>
          <w:szCs w:val="24"/>
          <w:highlight w:val="none"/>
        </w:rPr>
        <w:t>项目名称：</w:t>
      </w:r>
      <w:r>
        <w:rPr>
          <w:rFonts w:ascii="宋体" w:hAnsi="宋体" w:eastAsia="宋体" w:cs="宋体"/>
          <w:color w:val="auto"/>
          <w:spacing w:val="-2"/>
          <w:sz w:val="24"/>
          <w:szCs w:val="24"/>
          <w:highlight w:val="none"/>
          <w:u w:val="single"/>
        </w:rPr>
        <w:t xml:space="preserve">           </w:t>
      </w:r>
      <w:r>
        <w:rPr>
          <w:rFonts w:ascii="宋体" w:hAnsi="宋体" w:eastAsia="宋体" w:cs="宋体"/>
          <w:color w:val="auto"/>
          <w:spacing w:val="-1"/>
          <w:sz w:val="24"/>
          <w:szCs w:val="24"/>
          <w:highlight w:val="none"/>
          <w:u w:val="single"/>
        </w:rPr>
        <w:t xml:space="preserve">            </w:t>
      </w:r>
      <w:r>
        <w:rPr>
          <w:rFonts w:hint="eastAsia" w:ascii="宋体" w:hAnsi="宋体" w:eastAsia="宋体" w:cs="宋体"/>
          <w:color w:val="auto"/>
          <w:spacing w:val="6"/>
          <w:sz w:val="24"/>
          <w:szCs w:val="24"/>
          <w:highlight w:val="none"/>
        </w:rPr>
        <w:t>招标编号：</w:t>
      </w:r>
      <w:r>
        <w:rPr>
          <w:rFonts w:ascii="宋体" w:hAnsi="宋体" w:eastAsia="宋体" w:cs="宋体"/>
          <w:color w:val="auto"/>
          <w:sz w:val="24"/>
          <w:szCs w:val="24"/>
          <w:highlight w:val="none"/>
          <w:u w:val="single"/>
        </w:rPr>
        <w:t xml:space="preserve">               </w:t>
      </w:r>
      <w:r>
        <w:rPr>
          <w:rFonts w:hint="eastAsia" w:ascii="宋体" w:hAnsi="宋体" w:eastAsia="宋体" w:cs="宋体"/>
          <w:color w:val="auto"/>
          <w:sz w:val="23"/>
          <w:szCs w:val="23"/>
          <w:highlight w:val="none"/>
        </w:rPr>
        <w:t xml:space="preserve">  </w:t>
      </w:r>
    </w:p>
    <w:tbl>
      <w:tblPr>
        <w:tblStyle w:val="23"/>
        <w:tblW w:w="861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30"/>
        <w:gridCol w:w="2049"/>
        <w:gridCol w:w="2859"/>
        <w:gridCol w:w="297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trPr>
        <w:tc>
          <w:tcPr>
            <w:tcW w:w="730" w:type="dxa"/>
          </w:tcPr>
          <w:p>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序号</w:t>
            </w:r>
          </w:p>
        </w:tc>
        <w:tc>
          <w:tcPr>
            <w:tcW w:w="2049" w:type="dxa"/>
          </w:tcPr>
          <w:p>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招标文件要求</w:t>
            </w:r>
          </w:p>
        </w:tc>
        <w:tc>
          <w:tcPr>
            <w:tcW w:w="2859" w:type="dxa"/>
          </w:tcPr>
          <w:p>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投标文件要求</w:t>
            </w:r>
          </w:p>
        </w:tc>
        <w:tc>
          <w:tcPr>
            <w:tcW w:w="2979" w:type="dxa"/>
          </w:tcPr>
          <w:p>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偏离及其影响</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730" w:type="dxa"/>
          </w:tcPr>
          <w:p>
            <w:pPr>
              <w:spacing w:line="240" w:lineRule="auto"/>
              <w:rPr>
                <w:color w:val="auto"/>
                <w:sz w:val="24"/>
                <w:szCs w:val="24"/>
                <w:highlight w:val="none"/>
              </w:rPr>
            </w:pPr>
          </w:p>
        </w:tc>
        <w:tc>
          <w:tcPr>
            <w:tcW w:w="2049" w:type="dxa"/>
          </w:tcPr>
          <w:p>
            <w:pPr>
              <w:spacing w:line="240" w:lineRule="auto"/>
              <w:rPr>
                <w:color w:val="auto"/>
                <w:sz w:val="24"/>
                <w:szCs w:val="24"/>
                <w:highlight w:val="none"/>
              </w:rPr>
            </w:pPr>
          </w:p>
        </w:tc>
        <w:tc>
          <w:tcPr>
            <w:tcW w:w="2859" w:type="dxa"/>
          </w:tcPr>
          <w:p>
            <w:pPr>
              <w:spacing w:line="240" w:lineRule="auto"/>
              <w:rPr>
                <w:color w:val="auto"/>
                <w:sz w:val="24"/>
                <w:szCs w:val="24"/>
                <w:highlight w:val="none"/>
              </w:rPr>
            </w:pPr>
          </w:p>
        </w:tc>
        <w:tc>
          <w:tcPr>
            <w:tcW w:w="2979" w:type="dxa"/>
          </w:tcPr>
          <w:p>
            <w:pPr>
              <w:spacing w:line="240" w:lineRule="auto"/>
              <w:rPr>
                <w:color w:val="auto"/>
                <w:sz w:val="24"/>
                <w:szCs w:val="24"/>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730" w:type="dxa"/>
          </w:tcPr>
          <w:p>
            <w:pPr>
              <w:spacing w:line="240" w:lineRule="auto"/>
              <w:rPr>
                <w:color w:val="auto"/>
                <w:sz w:val="24"/>
                <w:szCs w:val="24"/>
                <w:highlight w:val="none"/>
              </w:rPr>
            </w:pPr>
          </w:p>
        </w:tc>
        <w:tc>
          <w:tcPr>
            <w:tcW w:w="2049" w:type="dxa"/>
          </w:tcPr>
          <w:p>
            <w:pPr>
              <w:spacing w:line="240" w:lineRule="auto"/>
              <w:rPr>
                <w:color w:val="auto"/>
                <w:sz w:val="24"/>
                <w:szCs w:val="24"/>
                <w:highlight w:val="none"/>
              </w:rPr>
            </w:pPr>
          </w:p>
        </w:tc>
        <w:tc>
          <w:tcPr>
            <w:tcW w:w="2859" w:type="dxa"/>
          </w:tcPr>
          <w:p>
            <w:pPr>
              <w:spacing w:line="240" w:lineRule="auto"/>
              <w:rPr>
                <w:color w:val="auto"/>
                <w:sz w:val="24"/>
                <w:szCs w:val="24"/>
                <w:highlight w:val="none"/>
              </w:rPr>
            </w:pPr>
          </w:p>
        </w:tc>
        <w:tc>
          <w:tcPr>
            <w:tcW w:w="2979" w:type="dxa"/>
          </w:tcPr>
          <w:p>
            <w:pPr>
              <w:spacing w:line="240" w:lineRule="auto"/>
              <w:rPr>
                <w:color w:val="auto"/>
                <w:sz w:val="24"/>
                <w:szCs w:val="24"/>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730" w:type="dxa"/>
          </w:tcPr>
          <w:p>
            <w:pPr>
              <w:spacing w:line="240" w:lineRule="auto"/>
              <w:rPr>
                <w:color w:val="auto"/>
                <w:sz w:val="24"/>
                <w:szCs w:val="24"/>
                <w:highlight w:val="none"/>
              </w:rPr>
            </w:pPr>
          </w:p>
        </w:tc>
        <w:tc>
          <w:tcPr>
            <w:tcW w:w="2049" w:type="dxa"/>
          </w:tcPr>
          <w:p>
            <w:pPr>
              <w:spacing w:line="240" w:lineRule="auto"/>
              <w:rPr>
                <w:color w:val="auto"/>
                <w:sz w:val="24"/>
                <w:szCs w:val="24"/>
                <w:highlight w:val="none"/>
              </w:rPr>
            </w:pPr>
          </w:p>
        </w:tc>
        <w:tc>
          <w:tcPr>
            <w:tcW w:w="2859" w:type="dxa"/>
          </w:tcPr>
          <w:p>
            <w:pPr>
              <w:spacing w:line="240" w:lineRule="auto"/>
              <w:rPr>
                <w:color w:val="auto"/>
                <w:sz w:val="24"/>
                <w:szCs w:val="24"/>
                <w:highlight w:val="none"/>
              </w:rPr>
            </w:pPr>
          </w:p>
        </w:tc>
        <w:tc>
          <w:tcPr>
            <w:tcW w:w="2979" w:type="dxa"/>
          </w:tcPr>
          <w:p>
            <w:pPr>
              <w:spacing w:line="240" w:lineRule="auto"/>
              <w:rPr>
                <w:color w:val="auto"/>
                <w:sz w:val="24"/>
                <w:szCs w:val="24"/>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730" w:type="dxa"/>
          </w:tcPr>
          <w:p>
            <w:pPr>
              <w:spacing w:line="240" w:lineRule="auto"/>
              <w:rPr>
                <w:color w:val="auto"/>
                <w:sz w:val="24"/>
                <w:szCs w:val="24"/>
                <w:highlight w:val="none"/>
              </w:rPr>
            </w:pPr>
          </w:p>
        </w:tc>
        <w:tc>
          <w:tcPr>
            <w:tcW w:w="2049" w:type="dxa"/>
          </w:tcPr>
          <w:p>
            <w:pPr>
              <w:spacing w:line="240" w:lineRule="auto"/>
              <w:rPr>
                <w:color w:val="auto"/>
                <w:sz w:val="24"/>
                <w:szCs w:val="24"/>
                <w:highlight w:val="none"/>
              </w:rPr>
            </w:pPr>
          </w:p>
        </w:tc>
        <w:tc>
          <w:tcPr>
            <w:tcW w:w="2859" w:type="dxa"/>
          </w:tcPr>
          <w:p>
            <w:pPr>
              <w:spacing w:line="240" w:lineRule="auto"/>
              <w:rPr>
                <w:color w:val="auto"/>
                <w:sz w:val="24"/>
                <w:szCs w:val="24"/>
                <w:highlight w:val="none"/>
              </w:rPr>
            </w:pPr>
          </w:p>
        </w:tc>
        <w:tc>
          <w:tcPr>
            <w:tcW w:w="2979" w:type="dxa"/>
          </w:tcPr>
          <w:p>
            <w:pPr>
              <w:spacing w:line="240" w:lineRule="auto"/>
              <w:rPr>
                <w:color w:val="auto"/>
                <w:sz w:val="24"/>
                <w:szCs w:val="24"/>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trPr>
        <w:tc>
          <w:tcPr>
            <w:tcW w:w="730" w:type="dxa"/>
          </w:tcPr>
          <w:p>
            <w:pPr>
              <w:spacing w:line="240" w:lineRule="auto"/>
              <w:rPr>
                <w:color w:val="auto"/>
                <w:sz w:val="24"/>
                <w:szCs w:val="24"/>
                <w:highlight w:val="none"/>
              </w:rPr>
            </w:pPr>
          </w:p>
        </w:tc>
        <w:tc>
          <w:tcPr>
            <w:tcW w:w="2049" w:type="dxa"/>
          </w:tcPr>
          <w:p>
            <w:pPr>
              <w:spacing w:line="240" w:lineRule="auto"/>
              <w:rPr>
                <w:color w:val="auto"/>
                <w:sz w:val="24"/>
                <w:szCs w:val="24"/>
                <w:highlight w:val="none"/>
              </w:rPr>
            </w:pPr>
          </w:p>
        </w:tc>
        <w:tc>
          <w:tcPr>
            <w:tcW w:w="2859" w:type="dxa"/>
          </w:tcPr>
          <w:p>
            <w:pPr>
              <w:spacing w:line="240" w:lineRule="auto"/>
              <w:rPr>
                <w:color w:val="auto"/>
                <w:sz w:val="24"/>
                <w:szCs w:val="24"/>
                <w:highlight w:val="none"/>
              </w:rPr>
            </w:pPr>
          </w:p>
        </w:tc>
        <w:tc>
          <w:tcPr>
            <w:tcW w:w="2979" w:type="dxa"/>
          </w:tcPr>
          <w:p>
            <w:pPr>
              <w:spacing w:line="240" w:lineRule="auto"/>
              <w:rPr>
                <w:color w:val="auto"/>
                <w:sz w:val="24"/>
                <w:szCs w:val="24"/>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trPr>
        <w:tc>
          <w:tcPr>
            <w:tcW w:w="730" w:type="dxa"/>
          </w:tcPr>
          <w:p>
            <w:pPr>
              <w:spacing w:line="240" w:lineRule="auto"/>
              <w:rPr>
                <w:color w:val="auto"/>
                <w:sz w:val="24"/>
                <w:szCs w:val="24"/>
                <w:highlight w:val="none"/>
              </w:rPr>
            </w:pPr>
          </w:p>
        </w:tc>
        <w:tc>
          <w:tcPr>
            <w:tcW w:w="2049" w:type="dxa"/>
          </w:tcPr>
          <w:p>
            <w:pPr>
              <w:spacing w:line="240" w:lineRule="auto"/>
              <w:rPr>
                <w:color w:val="auto"/>
                <w:sz w:val="24"/>
                <w:szCs w:val="24"/>
                <w:highlight w:val="none"/>
              </w:rPr>
            </w:pPr>
          </w:p>
        </w:tc>
        <w:tc>
          <w:tcPr>
            <w:tcW w:w="2859" w:type="dxa"/>
          </w:tcPr>
          <w:p>
            <w:pPr>
              <w:spacing w:line="240" w:lineRule="auto"/>
              <w:rPr>
                <w:color w:val="auto"/>
                <w:sz w:val="24"/>
                <w:szCs w:val="24"/>
                <w:highlight w:val="none"/>
              </w:rPr>
            </w:pPr>
          </w:p>
        </w:tc>
        <w:tc>
          <w:tcPr>
            <w:tcW w:w="2979" w:type="dxa"/>
          </w:tcPr>
          <w:p>
            <w:pPr>
              <w:spacing w:line="240" w:lineRule="auto"/>
              <w:rPr>
                <w:color w:val="auto"/>
                <w:sz w:val="24"/>
                <w:szCs w:val="24"/>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trPr>
        <w:tc>
          <w:tcPr>
            <w:tcW w:w="730" w:type="dxa"/>
          </w:tcPr>
          <w:p>
            <w:pPr>
              <w:spacing w:line="240" w:lineRule="auto"/>
              <w:rPr>
                <w:color w:val="auto"/>
                <w:sz w:val="24"/>
                <w:szCs w:val="24"/>
                <w:highlight w:val="none"/>
              </w:rPr>
            </w:pPr>
          </w:p>
        </w:tc>
        <w:tc>
          <w:tcPr>
            <w:tcW w:w="2049" w:type="dxa"/>
          </w:tcPr>
          <w:p>
            <w:pPr>
              <w:spacing w:line="240" w:lineRule="auto"/>
              <w:rPr>
                <w:color w:val="auto"/>
                <w:sz w:val="24"/>
                <w:szCs w:val="24"/>
                <w:highlight w:val="none"/>
              </w:rPr>
            </w:pPr>
          </w:p>
        </w:tc>
        <w:tc>
          <w:tcPr>
            <w:tcW w:w="2859" w:type="dxa"/>
          </w:tcPr>
          <w:p>
            <w:pPr>
              <w:spacing w:line="240" w:lineRule="auto"/>
              <w:rPr>
                <w:color w:val="auto"/>
                <w:sz w:val="24"/>
                <w:szCs w:val="24"/>
                <w:highlight w:val="none"/>
              </w:rPr>
            </w:pPr>
          </w:p>
        </w:tc>
        <w:tc>
          <w:tcPr>
            <w:tcW w:w="2979" w:type="dxa"/>
          </w:tcPr>
          <w:p>
            <w:pPr>
              <w:spacing w:line="240" w:lineRule="auto"/>
              <w:rPr>
                <w:color w:val="auto"/>
                <w:sz w:val="24"/>
                <w:szCs w:val="24"/>
                <w:highlight w:val="none"/>
              </w:rPr>
            </w:pPr>
          </w:p>
        </w:tc>
      </w:tr>
    </w:tbl>
    <w:p>
      <w:pPr>
        <w:spacing w:before="75" w:line="240" w:lineRule="auto"/>
        <w:ind w:left="493"/>
        <w:rPr>
          <w:rFonts w:ascii="宋体" w:hAnsi="宋体" w:eastAsia="宋体" w:cs="宋体"/>
          <w:b/>
          <w:bCs/>
          <w:color w:val="auto"/>
          <w:sz w:val="24"/>
          <w:szCs w:val="24"/>
          <w:highlight w:val="none"/>
        </w:rPr>
      </w:pPr>
      <w:r>
        <w:rPr>
          <w:rFonts w:hint="eastAsia" w:ascii="宋体" w:hAnsi="宋体" w:eastAsia="宋体" w:cs="宋体"/>
          <w:b/>
          <w:bCs/>
          <w:color w:val="auto"/>
          <w:spacing w:val="9"/>
          <w:sz w:val="24"/>
          <w:szCs w:val="24"/>
          <w:highlight w:val="none"/>
        </w:rPr>
        <w:t>注：供应商的投标应答如和第六章全部商务要求没有偏离可以不予填写（视为完全响应），如有任何正负偏离请于明确此表格。</w:t>
      </w:r>
    </w:p>
    <w:p>
      <w:pPr>
        <w:spacing w:line="240" w:lineRule="auto"/>
        <w:rPr>
          <w:color w:val="auto"/>
          <w:sz w:val="24"/>
          <w:szCs w:val="24"/>
          <w:highlight w:val="none"/>
        </w:rPr>
      </w:pPr>
    </w:p>
    <w:p>
      <w:pPr>
        <w:spacing w:before="76" w:line="240" w:lineRule="auto"/>
        <w:ind w:left="494" w:right="589" w:firstLine="1"/>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投标人名称：</w:t>
      </w:r>
      <w:r>
        <w:rPr>
          <w:rFonts w:ascii="宋体" w:hAnsi="宋体" w:eastAsia="宋体" w:cs="宋体"/>
          <w:color w:val="auto"/>
          <w:spacing w:val="-1"/>
          <w:sz w:val="24"/>
          <w:szCs w:val="24"/>
          <w:highlight w:val="none"/>
          <w:u w:val="single"/>
        </w:rPr>
        <w:t xml:space="preserve">        </w:t>
      </w:r>
      <w:r>
        <w:rPr>
          <w:rFonts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(盖单位公章)</w:t>
      </w:r>
      <w:r>
        <w:rPr>
          <w:rFonts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rPr>
        <w:t xml:space="preserve"> </w:t>
      </w:r>
    </w:p>
    <w:p>
      <w:pPr>
        <w:spacing w:before="77" w:line="240" w:lineRule="auto"/>
        <w:ind w:left="494"/>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法定代表人/单位负责人或授权代表(签字或加盖个人名章) ：</w:t>
      </w:r>
      <w:r>
        <w:rPr>
          <w:rFonts w:ascii="宋体" w:hAnsi="宋体" w:eastAsia="宋体" w:cs="宋体"/>
          <w:color w:val="auto"/>
          <w:sz w:val="24"/>
          <w:szCs w:val="24"/>
          <w:highlight w:val="none"/>
          <w:u w:val="single"/>
        </w:rPr>
        <w:t xml:space="preserve">        </w:t>
      </w:r>
    </w:p>
    <w:p>
      <w:pPr>
        <w:spacing w:before="78" w:line="240" w:lineRule="auto"/>
        <w:ind w:left="535"/>
        <w:rPr>
          <w:rFonts w:ascii="宋体" w:hAnsi="宋体" w:eastAsia="宋体" w:cs="宋体"/>
          <w:color w:val="auto"/>
          <w:sz w:val="23"/>
          <w:szCs w:val="23"/>
          <w:highlight w:val="none"/>
        </w:rPr>
      </w:pPr>
      <w:r>
        <w:rPr>
          <w:rFonts w:hint="eastAsia" w:ascii="宋体" w:hAnsi="宋体" w:eastAsia="宋体" w:cs="宋体"/>
          <w:color w:val="auto"/>
          <w:sz w:val="24"/>
          <w:szCs w:val="24"/>
          <w:highlight w:val="none"/>
        </w:rPr>
        <w:t>日    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pPr>
        <w:spacing w:line="240" w:lineRule="auto"/>
        <w:rPr>
          <w:color w:val="auto"/>
          <w:highlight w:val="none"/>
        </w:rPr>
        <w:sectPr>
          <w:headerReference r:id="rId27" w:type="default"/>
          <w:footerReference r:id="rId28" w:type="default"/>
          <w:pgSz w:w="11905" w:h="16838"/>
          <w:pgMar w:top="1417" w:right="1417" w:bottom="1417" w:left="1417" w:header="0" w:footer="1134" w:gutter="0"/>
          <w:cols w:space="0" w:num="1"/>
        </w:sectPr>
      </w:pPr>
    </w:p>
    <w:p>
      <w:pPr>
        <w:spacing w:line="240" w:lineRule="auto"/>
        <w:rPr>
          <w:color w:val="auto"/>
          <w:sz w:val="2"/>
          <w:highlight w:val="none"/>
        </w:rPr>
      </w:pPr>
      <w:r>
        <w:rPr>
          <w:color w:val="auto"/>
          <w:sz w:val="2"/>
          <w:szCs w:val="2"/>
          <w:highlight w:val="none"/>
        </w:rPr>
        <w:br w:type="column"/>
      </w:r>
    </w:p>
    <w:p>
      <w:pPr>
        <w:spacing w:before="3" w:line="240" w:lineRule="auto"/>
        <w:ind w:right="13"/>
        <w:jc w:val="center"/>
        <w:outlineLvl w:val="9"/>
        <w:rPr>
          <w:rFonts w:ascii="宋体" w:hAnsi="宋体" w:eastAsia="宋体" w:cs="宋体"/>
          <w:b/>
          <w:bCs/>
          <w:color w:val="auto"/>
          <w:sz w:val="32"/>
          <w:szCs w:val="32"/>
          <w:highlight w:val="none"/>
        </w:rPr>
      </w:pPr>
      <w:bookmarkStart w:id="142" w:name="_Toc11418"/>
      <w:bookmarkStart w:id="143" w:name="_Toc5386"/>
      <w:r>
        <w:rPr>
          <w:rFonts w:hint="eastAsia" w:ascii="宋体" w:hAnsi="宋体" w:eastAsia="宋体" w:cs="宋体"/>
          <w:b/>
          <w:bCs/>
          <w:color w:val="auto"/>
          <w:sz w:val="32"/>
          <w:szCs w:val="32"/>
          <w:highlight w:val="none"/>
          <w:lang w:eastAsia="zh-CN"/>
        </w:rPr>
        <w:t>五</w:t>
      </w:r>
      <w:r>
        <w:rPr>
          <w:rFonts w:hint="eastAsia" w:ascii="宋体" w:hAnsi="宋体" w:eastAsia="宋体" w:cs="宋体"/>
          <w:b/>
          <w:bCs/>
          <w:color w:val="auto"/>
          <w:sz w:val="32"/>
          <w:szCs w:val="32"/>
          <w:highlight w:val="none"/>
        </w:rPr>
        <w:t>、投标人基本情况表</w:t>
      </w:r>
      <w:bookmarkEnd w:id="142"/>
      <w:bookmarkEnd w:id="143"/>
    </w:p>
    <w:p>
      <w:pPr>
        <w:spacing w:line="240" w:lineRule="auto"/>
        <w:rPr>
          <w:color w:val="auto"/>
          <w:highlight w:val="none"/>
        </w:rPr>
      </w:pPr>
    </w:p>
    <w:tbl>
      <w:tblPr>
        <w:tblStyle w:val="23"/>
        <w:tblW w:w="8218"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1536"/>
        <w:gridCol w:w="952"/>
        <w:gridCol w:w="1233"/>
        <w:gridCol w:w="1241"/>
        <w:gridCol w:w="1314"/>
        <w:gridCol w:w="157"/>
        <w:gridCol w:w="689"/>
        <w:gridCol w:w="1096"/>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509" w:hRule="atLeast"/>
          <w:jc w:val="center"/>
        </w:trPr>
        <w:tc>
          <w:tcPr>
            <w:tcW w:w="1536" w:type="dxa"/>
            <w:tcBorders>
              <w:tl2br w:val="nil"/>
              <w:tr2bl w:val="nil"/>
            </w:tcBorders>
            <w:vAlign w:val="center"/>
          </w:tcPr>
          <w:p>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投标人名称</w:t>
            </w:r>
          </w:p>
        </w:tc>
        <w:tc>
          <w:tcPr>
            <w:tcW w:w="6682" w:type="dxa"/>
            <w:gridSpan w:val="7"/>
            <w:tcBorders>
              <w:tl2br w:val="nil"/>
              <w:tr2bl w:val="nil"/>
            </w:tcBorders>
            <w:vAlign w:val="center"/>
          </w:tcPr>
          <w:p>
            <w:pPr>
              <w:spacing w:line="240" w:lineRule="auto"/>
              <w:ind w:right="13"/>
              <w:jc w:val="center"/>
              <w:rPr>
                <w:rFonts w:ascii="宋体" w:hAnsi="宋体" w:eastAsia="宋体" w:cs="宋体"/>
                <w:color w:val="auto"/>
                <w:spacing w:val="6"/>
                <w:sz w:val="24"/>
                <w:szCs w:val="24"/>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72" w:hRule="atLeast"/>
          <w:jc w:val="center"/>
        </w:trPr>
        <w:tc>
          <w:tcPr>
            <w:tcW w:w="1536" w:type="dxa"/>
            <w:tcBorders>
              <w:tl2br w:val="nil"/>
              <w:tr2bl w:val="nil"/>
            </w:tcBorders>
            <w:vAlign w:val="center"/>
          </w:tcPr>
          <w:p>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注册地址</w:t>
            </w:r>
          </w:p>
        </w:tc>
        <w:tc>
          <w:tcPr>
            <w:tcW w:w="3426" w:type="dxa"/>
            <w:gridSpan w:val="3"/>
            <w:tcBorders>
              <w:tl2br w:val="nil"/>
              <w:tr2bl w:val="nil"/>
            </w:tcBorders>
            <w:vAlign w:val="center"/>
          </w:tcPr>
          <w:p>
            <w:pPr>
              <w:spacing w:line="240" w:lineRule="auto"/>
              <w:ind w:right="13"/>
              <w:jc w:val="center"/>
              <w:rPr>
                <w:rFonts w:ascii="宋体" w:hAnsi="宋体" w:eastAsia="宋体" w:cs="宋体"/>
                <w:color w:val="auto"/>
                <w:spacing w:val="6"/>
                <w:sz w:val="24"/>
                <w:szCs w:val="24"/>
                <w:highlight w:val="none"/>
              </w:rPr>
            </w:pPr>
          </w:p>
        </w:tc>
        <w:tc>
          <w:tcPr>
            <w:tcW w:w="1314" w:type="dxa"/>
            <w:tcBorders>
              <w:tl2br w:val="nil"/>
              <w:tr2bl w:val="nil"/>
            </w:tcBorders>
            <w:vAlign w:val="center"/>
          </w:tcPr>
          <w:p>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邮政编码</w:t>
            </w:r>
          </w:p>
        </w:tc>
        <w:tc>
          <w:tcPr>
            <w:tcW w:w="1942" w:type="dxa"/>
            <w:gridSpan w:val="3"/>
            <w:tcBorders>
              <w:tl2br w:val="nil"/>
              <w:tr2bl w:val="nil"/>
            </w:tcBorders>
            <w:vAlign w:val="center"/>
          </w:tcPr>
          <w:p>
            <w:pPr>
              <w:spacing w:line="240" w:lineRule="auto"/>
              <w:ind w:right="13"/>
              <w:jc w:val="center"/>
              <w:rPr>
                <w:rFonts w:ascii="宋体" w:hAnsi="宋体" w:eastAsia="宋体" w:cs="宋体"/>
                <w:color w:val="auto"/>
                <w:spacing w:val="6"/>
                <w:sz w:val="24"/>
                <w:szCs w:val="24"/>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52" w:hRule="atLeast"/>
          <w:jc w:val="center"/>
        </w:trPr>
        <w:tc>
          <w:tcPr>
            <w:tcW w:w="1536" w:type="dxa"/>
            <w:vMerge w:val="restart"/>
            <w:tcBorders>
              <w:tl2br w:val="nil"/>
              <w:tr2bl w:val="nil"/>
            </w:tcBorders>
            <w:vAlign w:val="center"/>
          </w:tcPr>
          <w:p>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联系方式</w:t>
            </w:r>
          </w:p>
        </w:tc>
        <w:tc>
          <w:tcPr>
            <w:tcW w:w="952" w:type="dxa"/>
            <w:tcBorders>
              <w:tl2br w:val="nil"/>
              <w:tr2bl w:val="nil"/>
            </w:tcBorders>
            <w:vAlign w:val="center"/>
          </w:tcPr>
          <w:p>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联系人</w:t>
            </w:r>
          </w:p>
        </w:tc>
        <w:tc>
          <w:tcPr>
            <w:tcW w:w="2474" w:type="dxa"/>
            <w:gridSpan w:val="2"/>
            <w:tcBorders>
              <w:tl2br w:val="nil"/>
              <w:tr2bl w:val="nil"/>
            </w:tcBorders>
            <w:vAlign w:val="center"/>
          </w:tcPr>
          <w:p>
            <w:pPr>
              <w:spacing w:line="240" w:lineRule="auto"/>
              <w:ind w:right="13"/>
              <w:jc w:val="center"/>
              <w:rPr>
                <w:rFonts w:ascii="宋体" w:hAnsi="宋体" w:eastAsia="宋体" w:cs="宋体"/>
                <w:color w:val="auto"/>
                <w:spacing w:val="6"/>
                <w:sz w:val="24"/>
                <w:szCs w:val="24"/>
                <w:highlight w:val="none"/>
              </w:rPr>
            </w:pPr>
          </w:p>
        </w:tc>
        <w:tc>
          <w:tcPr>
            <w:tcW w:w="1314" w:type="dxa"/>
            <w:tcBorders>
              <w:tl2br w:val="nil"/>
              <w:tr2bl w:val="nil"/>
            </w:tcBorders>
            <w:vAlign w:val="center"/>
          </w:tcPr>
          <w:p>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电话</w:t>
            </w:r>
          </w:p>
        </w:tc>
        <w:tc>
          <w:tcPr>
            <w:tcW w:w="1942" w:type="dxa"/>
            <w:gridSpan w:val="3"/>
            <w:tcBorders>
              <w:tl2br w:val="nil"/>
              <w:tr2bl w:val="nil"/>
            </w:tcBorders>
            <w:vAlign w:val="center"/>
          </w:tcPr>
          <w:p>
            <w:pPr>
              <w:spacing w:line="240" w:lineRule="auto"/>
              <w:ind w:right="13"/>
              <w:jc w:val="center"/>
              <w:rPr>
                <w:rFonts w:ascii="宋体" w:hAnsi="宋体" w:eastAsia="宋体" w:cs="宋体"/>
                <w:color w:val="auto"/>
                <w:spacing w:val="6"/>
                <w:sz w:val="24"/>
                <w:szCs w:val="24"/>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70" w:hRule="atLeast"/>
          <w:jc w:val="center"/>
        </w:trPr>
        <w:tc>
          <w:tcPr>
            <w:tcW w:w="1536" w:type="dxa"/>
            <w:vMerge w:val="continue"/>
            <w:tcBorders>
              <w:tl2br w:val="nil"/>
              <w:tr2bl w:val="nil"/>
            </w:tcBorders>
            <w:vAlign w:val="center"/>
          </w:tcPr>
          <w:p>
            <w:pPr>
              <w:spacing w:line="240" w:lineRule="auto"/>
              <w:ind w:right="13"/>
              <w:jc w:val="center"/>
              <w:rPr>
                <w:rFonts w:ascii="宋体" w:hAnsi="宋体" w:eastAsia="宋体" w:cs="宋体"/>
                <w:color w:val="auto"/>
                <w:spacing w:val="6"/>
                <w:sz w:val="24"/>
                <w:szCs w:val="24"/>
                <w:highlight w:val="none"/>
              </w:rPr>
            </w:pPr>
          </w:p>
        </w:tc>
        <w:tc>
          <w:tcPr>
            <w:tcW w:w="952" w:type="dxa"/>
            <w:tcBorders>
              <w:tl2br w:val="nil"/>
              <w:tr2bl w:val="nil"/>
            </w:tcBorders>
            <w:vAlign w:val="center"/>
          </w:tcPr>
          <w:p>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传真</w:t>
            </w:r>
          </w:p>
        </w:tc>
        <w:tc>
          <w:tcPr>
            <w:tcW w:w="2474" w:type="dxa"/>
            <w:gridSpan w:val="2"/>
            <w:tcBorders>
              <w:tl2br w:val="nil"/>
              <w:tr2bl w:val="nil"/>
            </w:tcBorders>
            <w:vAlign w:val="center"/>
          </w:tcPr>
          <w:p>
            <w:pPr>
              <w:spacing w:line="240" w:lineRule="auto"/>
              <w:ind w:right="13"/>
              <w:jc w:val="center"/>
              <w:rPr>
                <w:rFonts w:ascii="宋体" w:hAnsi="宋体" w:eastAsia="宋体" w:cs="宋体"/>
                <w:color w:val="auto"/>
                <w:spacing w:val="6"/>
                <w:sz w:val="24"/>
                <w:szCs w:val="24"/>
                <w:highlight w:val="none"/>
              </w:rPr>
            </w:pPr>
          </w:p>
        </w:tc>
        <w:tc>
          <w:tcPr>
            <w:tcW w:w="1314" w:type="dxa"/>
            <w:tcBorders>
              <w:tl2br w:val="nil"/>
              <w:tr2bl w:val="nil"/>
            </w:tcBorders>
            <w:vAlign w:val="center"/>
          </w:tcPr>
          <w:p>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网址</w:t>
            </w:r>
          </w:p>
        </w:tc>
        <w:tc>
          <w:tcPr>
            <w:tcW w:w="1942" w:type="dxa"/>
            <w:gridSpan w:val="3"/>
            <w:tcBorders>
              <w:tl2br w:val="nil"/>
              <w:tr2bl w:val="nil"/>
            </w:tcBorders>
            <w:vAlign w:val="center"/>
          </w:tcPr>
          <w:p>
            <w:pPr>
              <w:spacing w:line="240" w:lineRule="auto"/>
              <w:ind w:right="13"/>
              <w:jc w:val="center"/>
              <w:rPr>
                <w:rFonts w:ascii="宋体" w:hAnsi="宋体" w:eastAsia="宋体" w:cs="宋体"/>
                <w:color w:val="auto"/>
                <w:spacing w:val="6"/>
                <w:sz w:val="24"/>
                <w:szCs w:val="24"/>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52" w:hRule="atLeast"/>
          <w:jc w:val="center"/>
        </w:trPr>
        <w:tc>
          <w:tcPr>
            <w:tcW w:w="1536" w:type="dxa"/>
            <w:tcBorders>
              <w:tl2br w:val="nil"/>
              <w:tr2bl w:val="nil"/>
            </w:tcBorders>
            <w:vAlign w:val="center"/>
          </w:tcPr>
          <w:p>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组织结构</w:t>
            </w:r>
          </w:p>
        </w:tc>
        <w:tc>
          <w:tcPr>
            <w:tcW w:w="6682" w:type="dxa"/>
            <w:gridSpan w:val="7"/>
            <w:tcBorders>
              <w:tl2br w:val="nil"/>
              <w:tr2bl w:val="nil"/>
            </w:tcBorders>
            <w:vAlign w:val="center"/>
          </w:tcPr>
          <w:p>
            <w:pPr>
              <w:spacing w:line="240" w:lineRule="auto"/>
              <w:ind w:right="13"/>
              <w:jc w:val="center"/>
              <w:rPr>
                <w:rFonts w:ascii="宋体" w:hAnsi="宋体" w:eastAsia="宋体" w:cs="宋体"/>
                <w:color w:val="auto"/>
                <w:spacing w:val="6"/>
                <w:sz w:val="24"/>
                <w:szCs w:val="24"/>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729" w:hRule="atLeast"/>
          <w:jc w:val="center"/>
        </w:trPr>
        <w:tc>
          <w:tcPr>
            <w:tcW w:w="1536" w:type="dxa"/>
            <w:tcBorders>
              <w:tl2br w:val="nil"/>
              <w:tr2bl w:val="nil"/>
            </w:tcBorders>
            <w:vAlign w:val="center"/>
          </w:tcPr>
          <w:p>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法定代表人</w:t>
            </w:r>
          </w:p>
          <w:p>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(负责人)</w:t>
            </w:r>
          </w:p>
        </w:tc>
        <w:tc>
          <w:tcPr>
            <w:tcW w:w="952" w:type="dxa"/>
            <w:tcBorders>
              <w:tl2br w:val="nil"/>
              <w:tr2bl w:val="nil"/>
            </w:tcBorders>
            <w:vAlign w:val="center"/>
          </w:tcPr>
          <w:p>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姓名</w:t>
            </w:r>
          </w:p>
        </w:tc>
        <w:tc>
          <w:tcPr>
            <w:tcW w:w="1233" w:type="dxa"/>
            <w:tcBorders>
              <w:tl2br w:val="nil"/>
              <w:tr2bl w:val="nil"/>
            </w:tcBorders>
            <w:vAlign w:val="center"/>
          </w:tcPr>
          <w:p>
            <w:pPr>
              <w:spacing w:line="240" w:lineRule="auto"/>
              <w:ind w:right="13"/>
              <w:jc w:val="center"/>
              <w:rPr>
                <w:rFonts w:ascii="宋体" w:hAnsi="宋体" w:eastAsia="宋体" w:cs="宋体"/>
                <w:color w:val="auto"/>
                <w:spacing w:val="6"/>
                <w:sz w:val="24"/>
                <w:szCs w:val="24"/>
                <w:highlight w:val="none"/>
              </w:rPr>
            </w:pPr>
          </w:p>
        </w:tc>
        <w:tc>
          <w:tcPr>
            <w:tcW w:w="1241" w:type="dxa"/>
            <w:tcBorders>
              <w:tl2br w:val="nil"/>
              <w:tr2bl w:val="nil"/>
            </w:tcBorders>
            <w:vAlign w:val="center"/>
          </w:tcPr>
          <w:p>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技术职称</w:t>
            </w:r>
          </w:p>
        </w:tc>
        <w:tc>
          <w:tcPr>
            <w:tcW w:w="1314" w:type="dxa"/>
            <w:tcBorders>
              <w:tl2br w:val="nil"/>
              <w:tr2bl w:val="nil"/>
            </w:tcBorders>
            <w:vAlign w:val="center"/>
          </w:tcPr>
          <w:p>
            <w:pPr>
              <w:spacing w:line="240" w:lineRule="auto"/>
              <w:ind w:right="13"/>
              <w:jc w:val="center"/>
              <w:rPr>
                <w:rFonts w:ascii="宋体" w:hAnsi="宋体" w:eastAsia="宋体" w:cs="宋体"/>
                <w:color w:val="auto"/>
                <w:spacing w:val="6"/>
                <w:sz w:val="24"/>
                <w:szCs w:val="24"/>
                <w:highlight w:val="none"/>
              </w:rPr>
            </w:pPr>
          </w:p>
        </w:tc>
        <w:tc>
          <w:tcPr>
            <w:tcW w:w="846" w:type="dxa"/>
            <w:gridSpan w:val="2"/>
            <w:tcBorders>
              <w:tl2br w:val="nil"/>
              <w:tr2bl w:val="nil"/>
            </w:tcBorders>
            <w:vAlign w:val="center"/>
          </w:tcPr>
          <w:p>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电话</w:t>
            </w:r>
          </w:p>
        </w:tc>
        <w:tc>
          <w:tcPr>
            <w:tcW w:w="1096" w:type="dxa"/>
            <w:tcBorders>
              <w:tl2br w:val="nil"/>
              <w:tr2bl w:val="nil"/>
            </w:tcBorders>
            <w:vAlign w:val="center"/>
          </w:tcPr>
          <w:p>
            <w:pPr>
              <w:spacing w:line="240" w:lineRule="auto"/>
              <w:ind w:right="13"/>
              <w:jc w:val="center"/>
              <w:rPr>
                <w:rFonts w:ascii="宋体" w:hAnsi="宋体" w:eastAsia="宋体" w:cs="宋体"/>
                <w:color w:val="auto"/>
                <w:spacing w:val="6"/>
                <w:sz w:val="24"/>
                <w:szCs w:val="24"/>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52" w:hRule="atLeast"/>
          <w:jc w:val="center"/>
        </w:trPr>
        <w:tc>
          <w:tcPr>
            <w:tcW w:w="1536" w:type="dxa"/>
            <w:tcBorders>
              <w:tl2br w:val="nil"/>
              <w:tr2bl w:val="nil"/>
            </w:tcBorders>
            <w:vAlign w:val="center"/>
          </w:tcPr>
          <w:p>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技术负责人</w:t>
            </w:r>
          </w:p>
        </w:tc>
        <w:tc>
          <w:tcPr>
            <w:tcW w:w="952" w:type="dxa"/>
            <w:tcBorders>
              <w:tl2br w:val="nil"/>
              <w:tr2bl w:val="nil"/>
            </w:tcBorders>
            <w:vAlign w:val="center"/>
          </w:tcPr>
          <w:p>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姓名</w:t>
            </w:r>
          </w:p>
        </w:tc>
        <w:tc>
          <w:tcPr>
            <w:tcW w:w="1233" w:type="dxa"/>
            <w:tcBorders>
              <w:tl2br w:val="nil"/>
              <w:tr2bl w:val="nil"/>
            </w:tcBorders>
            <w:vAlign w:val="center"/>
          </w:tcPr>
          <w:p>
            <w:pPr>
              <w:spacing w:line="240" w:lineRule="auto"/>
              <w:ind w:right="13"/>
              <w:jc w:val="center"/>
              <w:rPr>
                <w:rFonts w:ascii="宋体" w:hAnsi="宋体" w:eastAsia="宋体" w:cs="宋体"/>
                <w:color w:val="auto"/>
                <w:spacing w:val="6"/>
                <w:sz w:val="24"/>
                <w:szCs w:val="24"/>
                <w:highlight w:val="none"/>
              </w:rPr>
            </w:pPr>
          </w:p>
        </w:tc>
        <w:tc>
          <w:tcPr>
            <w:tcW w:w="1241" w:type="dxa"/>
            <w:tcBorders>
              <w:tl2br w:val="nil"/>
              <w:tr2bl w:val="nil"/>
            </w:tcBorders>
            <w:vAlign w:val="center"/>
          </w:tcPr>
          <w:p>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技术职称</w:t>
            </w:r>
          </w:p>
        </w:tc>
        <w:tc>
          <w:tcPr>
            <w:tcW w:w="1314" w:type="dxa"/>
            <w:tcBorders>
              <w:tl2br w:val="nil"/>
              <w:tr2bl w:val="nil"/>
            </w:tcBorders>
            <w:vAlign w:val="center"/>
          </w:tcPr>
          <w:p>
            <w:pPr>
              <w:spacing w:line="240" w:lineRule="auto"/>
              <w:ind w:right="13"/>
              <w:jc w:val="center"/>
              <w:rPr>
                <w:rFonts w:ascii="宋体" w:hAnsi="宋体" w:eastAsia="宋体" w:cs="宋体"/>
                <w:color w:val="auto"/>
                <w:spacing w:val="6"/>
                <w:sz w:val="24"/>
                <w:szCs w:val="24"/>
                <w:highlight w:val="none"/>
              </w:rPr>
            </w:pPr>
          </w:p>
        </w:tc>
        <w:tc>
          <w:tcPr>
            <w:tcW w:w="846" w:type="dxa"/>
            <w:gridSpan w:val="2"/>
            <w:tcBorders>
              <w:tl2br w:val="nil"/>
              <w:tr2bl w:val="nil"/>
            </w:tcBorders>
            <w:vAlign w:val="center"/>
          </w:tcPr>
          <w:p>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电话</w:t>
            </w:r>
          </w:p>
        </w:tc>
        <w:tc>
          <w:tcPr>
            <w:tcW w:w="1096" w:type="dxa"/>
            <w:tcBorders>
              <w:tl2br w:val="nil"/>
              <w:tr2bl w:val="nil"/>
            </w:tcBorders>
            <w:vAlign w:val="center"/>
          </w:tcPr>
          <w:p>
            <w:pPr>
              <w:spacing w:line="240" w:lineRule="auto"/>
              <w:ind w:right="13"/>
              <w:jc w:val="center"/>
              <w:rPr>
                <w:rFonts w:ascii="宋体" w:hAnsi="宋体" w:eastAsia="宋体" w:cs="宋体"/>
                <w:color w:val="auto"/>
                <w:spacing w:val="6"/>
                <w:sz w:val="24"/>
                <w:szCs w:val="24"/>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52" w:hRule="atLeast"/>
          <w:jc w:val="center"/>
        </w:trPr>
        <w:tc>
          <w:tcPr>
            <w:tcW w:w="1536" w:type="dxa"/>
            <w:tcBorders>
              <w:tl2br w:val="nil"/>
              <w:tr2bl w:val="nil"/>
            </w:tcBorders>
            <w:vAlign w:val="center"/>
          </w:tcPr>
          <w:p>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成立时间</w:t>
            </w:r>
          </w:p>
        </w:tc>
        <w:tc>
          <w:tcPr>
            <w:tcW w:w="2185" w:type="dxa"/>
            <w:gridSpan w:val="2"/>
            <w:tcBorders>
              <w:tl2br w:val="nil"/>
              <w:tr2bl w:val="nil"/>
            </w:tcBorders>
            <w:vAlign w:val="center"/>
          </w:tcPr>
          <w:p>
            <w:pPr>
              <w:spacing w:line="240" w:lineRule="auto"/>
              <w:ind w:right="13"/>
              <w:jc w:val="center"/>
              <w:rPr>
                <w:rFonts w:ascii="宋体" w:hAnsi="宋体" w:eastAsia="宋体" w:cs="宋体"/>
                <w:color w:val="auto"/>
                <w:spacing w:val="6"/>
                <w:sz w:val="24"/>
                <w:szCs w:val="24"/>
                <w:highlight w:val="none"/>
              </w:rPr>
            </w:pPr>
          </w:p>
        </w:tc>
        <w:tc>
          <w:tcPr>
            <w:tcW w:w="4497" w:type="dxa"/>
            <w:gridSpan w:val="5"/>
            <w:tcBorders>
              <w:tl2br w:val="nil"/>
              <w:tr2bl w:val="nil"/>
            </w:tcBorders>
            <w:vAlign w:val="center"/>
          </w:tcPr>
          <w:p>
            <w:pPr>
              <w:spacing w:line="240" w:lineRule="auto"/>
              <w:ind w:right="13"/>
              <w:jc w:val="both"/>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员工总人数：</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729" w:hRule="atLeast"/>
          <w:jc w:val="center"/>
        </w:trPr>
        <w:tc>
          <w:tcPr>
            <w:tcW w:w="1536" w:type="dxa"/>
            <w:tcBorders>
              <w:tl2br w:val="nil"/>
              <w:tr2bl w:val="nil"/>
            </w:tcBorders>
            <w:vAlign w:val="center"/>
          </w:tcPr>
          <w:p>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企业资质等</w:t>
            </w:r>
          </w:p>
          <w:p>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级</w:t>
            </w:r>
          </w:p>
        </w:tc>
        <w:tc>
          <w:tcPr>
            <w:tcW w:w="2185" w:type="dxa"/>
            <w:gridSpan w:val="2"/>
            <w:tcBorders>
              <w:tl2br w:val="nil"/>
              <w:tr2bl w:val="nil"/>
            </w:tcBorders>
            <w:vAlign w:val="center"/>
          </w:tcPr>
          <w:p>
            <w:pPr>
              <w:spacing w:line="240" w:lineRule="auto"/>
              <w:ind w:right="13"/>
              <w:jc w:val="center"/>
              <w:rPr>
                <w:rFonts w:ascii="宋体" w:hAnsi="宋体" w:eastAsia="宋体" w:cs="宋体"/>
                <w:color w:val="auto"/>
                <w:spacing w:val="6"/>
                <w:sz w:val="24"/>
                <w:szCs w:val="24"/>
                <w:highlight w:val="none"/>
              </w:rPr>
            </w:pPr>
          </w:p>
        </w:tc>
        <w:tc>
          <w:tcPr>
            <w:tcW w:w="1241" w:type="dxa"/>
            <w:vMerge w:val="restart"/>
            <w:tcBorders>
              <w:tl2br w:val="nil"/>
              <w:tr2bl w:val="nil"/>
            </w:tcBorders>
            <w:vAlign w:val="center"/>
          </w:tcPr>
          <w:p>
            <w:pPr>
              <w:spacing w:line="240" w:lineRule="auto"/>
              <w:ind w:right="13"/>
              <w:jc w:val="center"/>
              <w:rPr>
                <w:rFonts w:ascii="宋体" w:hAnsi="宋体" w:eastAsia="宋体" w:cs="宋体"/>
                <w:color w:val="auto"/>
                <w:spacing w:val="6"/>
                <w:sz w:val="24"/>
                <w:szCs w:val="24"/>
                <w:highlight w:val="none"/>
              </w:rPr>
            </w:pPr>
          </w:p>
          <w:p>
            <w:pPr>
              <w:spacing w:line="240" w:lineRule="auto"/>
              <w:ind w:right="13"/>
              <w:jc w:val="center"/>
              <w:rPr>
                <w:rFonts w:ascii="宋体" w:hAnsi="宋体" w:eastAsia="宋体" w:cs="宋体"/>
                <w:color w:val="auto"/>
                <w:spacing w:val="6"/>
                <w:sz w:val="24"/>
                <w:szCs w:val="24"/>
                <w:highlight w:val="none"/>
              </w:rPr>
            </w:pPr>
          </w:p>
          <w:p>
            <w:pPr>
              <w:spacing w:line="240" w:lineRule="auto"/>
              <w:ind w:right="13"/>
              <w:jc w:val="center"/>
              <w:rPr>
                <w:rFonts w:ascii="宋体" w:hAnsi="宋体" w:eastAsia="宋体" w:cs="宋体"/>
                <w:color w:val="auto"/>
                <w:spacing w:val="6"/>
                <w:sz w:val="24"/>
                <w:szCs w:val="24"/>
                <w:highlight w:val="none"/>
              </w:rPr>
            </w:pPr>
          </w:p>
          <w:p>
            <w:pPr>
              <w:spacing w:line="240" w:lineRule="auto"/>
              <w:ind w:right="13"/>
              <w:jc w:val="center"/>
              <w:rPr>
                <w:rFonts w:ascii="宋体" w:hAnsi="宋体" w:eastAsia="宋体" w:cs="宋体"/>
                <w:color w:val="auto"/>
                <w:spacing w:val="6"/>
                <w:sz w:val="24"/>
                <w:szCs w:val="24"/>
                <w:highlight w:val="none"/>
              </w:rPr>
            </w:pPr>
          </w:p>
          <w:p>
            <w:pPr>
              <w:spacing w:line="240" w:lineRule="auto"/>
              <w:ind w:right="13"/>
              <w:jc w:val="center"/>
              <w:rPr>
                <w:rFonts w:ascii="宋体" w:hAnsi="宋体" w:eastAsia="宋体" w:cs="宋体"/>
                <w:color w:val="auto"/>
                <w:spacing w:val="6"/>
                <w:sz w:val="24"/>
                <w:szCs w:val="24"/>
                <w:highlight w:val="none"/>
              </w:rPr>
            </w:pPr>
          </w:p>
          <w:p>
            <w:pPr>
              <w:spacing w:line="240" w:lineRule="auto"/>
              <w:ind w:right="13"/>
              <w:jc w:val="center"/>
              <w:rPr>
                <w:rFonts w:ascii="宋体" w:hAnsi="宋体" w:eastAsia="宋体" w:cs="宋体"/>
                <w:color w:val="auto"/>
                <w:spacing w:val="6"/>
                <w:sz w:val="24"/>
                <w:szCs w:val="24"/>
                <w:highlight w:val="none"/>
              </w:rPr>
            </w:pPr>
          </w:p>
          <w:p>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其中</w:t>
            </w:r>
          </w:p>
        </w:tc>
        <w:tc>
          <w:tcPr>
            <w:tcW w:w="1471" w:type="dxa"/>
            <w:gridSpan w:val="2"/>
            <w:tcBorders>
              <w:tl2br w:val="nil"/>
              <w:tr2bl w:val="nil"/>
            </w:tcBorders>
            <w:vAlign w:val="center"/>
          </w:tcPr>
          <w:p>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项目经理</w:t>
            </w:r>
          </w:p>
        </w:tc>
        <w:tc>
          <w:tcPr>
            <w:tcW w:w="1785" w:type="dxa"/>
            <w:gridSpan w:val="2"/>
            <w:tcBorders>
              <w:tl2br w:val="nil"/>
              <w:tr2bl w:val="nil"/>
            </w:tcBorders>
            <w:vAlign w:val="center"/>
          </w:tcPr>
          <w:p>
            <w:pPr>
              <w:spacing w:line="240" w:lineRule="auto"/>
              <w:ind w:right="13"/>
              <w:jc w:val="center"/>
              <w:rPr>
                <w:rFonts w:ascii="宋体" w:hAnsi="宋体" w:eastAsia="宋体" w:cs="宋体"/>
                <w:color w:val="auto"/>
                <w:spacing w:val="6"/>
                <w:sz w:val="24"/>
                <w:szCs w:val="24"/>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730" w:hRule="atLeast"/>
          <w:jc w:val="center"/>
        </w:trPr>
        <w:tc>
          <w:tcPr>
            <w:tcW w:w="1536" w:type="dxa"/>
            <w:tcBorders>
              <w:tl2br w:val="nil"/>
              <w:tr2bl w:val="nil"/>
            </w:tcBorders>
            <w:vAlign w:val="center"/>
          </w:tcPr>
          <w:p>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营业执照号</w:t>
            </w:r>
          </w:p>
        </w:tc>
        <w:tc>
          <w:tcPr>
            <w:tcW w:w="2185" w:type="dxa"/>
            <w:gridSpan w:val="2"/>
            <w:tcBorders>
              <w:tl2br w:val="nil"/>
              <w:tr2bl w:val="nil"/>
            </w:tcBorders>
            <w:vAlign w:val="center"/>
          </w:tcPr>
          <w:p>
            <w:pPr>
              <w:spacing w:line="240" w:lineRule="auto"/>
              <w:ind w:right="13"/>
              <w:jc w:val="center"/>
              <w:rPr>
                <w:rFonts w:ascii="宋体" w:hAnsi="宋体" w:eastAsia="宋体" w:cs="宋体"/>
                <w:color w:val="auto"/>
                <w:spacing w:val="6"/>
                <w:sz w:val="24"/>
                <w:szCs w:val="24"/>
                <w:highlight w:val="none"/>
              </w:rPr>
            </w:pPr>
          </w:p>
        </w:tc>
        <w:tc>
          <w:tcPr>
            <w:tcW w:w="1241" w:type="dxa"/>
            <w:vMerge w:val="continue"/>
            <w:tcBorders>
              <w:tl2br w:val="nil"/>
              <w:tr2bl w:val="nil"/>
            </w:tcBorders>
            <w:vAlign w:val="center"/>
          </w:tcPr>
          <w:p>
            <w:pPr>
              <w:spacing w:line="240" w:lineRule="auto"/>
              <w:ind w:right="13"/>
              <w:jc w:val="center"/>
              <w:rPr>
                <w:rFonts w:ascii="宋体" w:hAnsi="宋体" w:eastAsia="宋体" w:cs="宋体"/>
                <w:color w:val="auto"/>
                <w:spacing w:val="6"/>
                <w:sz w:val="24"/>
                <w:szCs w:val="24"/>
                <w:highlight w:val="none"/>
              </w:rPr>
            </w:pPr>
          </w:p>
        </w:tc>
        <w:tc>
          <w:tcPr>
            <w:tcW w:w="1471" w:type="dxa"/>
            <w:gridSpan w:val="2"/>
            <w:tcBorders>
              <w:tl2br w:val="nil"/>
              <w:tr2bl w:val="nil"/>
            </w:tcBorders>
            <w:vAlign w:val="center"/>
          </w:tcPr>
          <w:p>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高级职称人</w:t>
            </w:r>
          </w:p>
          <w:p>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员</w:t>
            </w:r>
          </w:p>
        </w:tc>
        <w:tc>
          <w:tcPr>
            <w:tcW w:w="1785" w:type="dxa"/>
            <w:gridSpan w:val="2"/>
            <w:tcBorders>
              <w:tl2br w:val="nil"/>
              <w:tr2bl w:val="nil"/>
            </w:tcBorders>
            <w:vAlign w:val="center"/>
          </w:tcPr>
          <w:p>
            <w:pPr>
              <w:spacing w:line="240" w:lineRule="auto"/>
              <w:ind w:right="13"/>
              <w:jc w:val="center"/>
              <w:rPr>
                <w:rFonts w:ascii="宋体" w:hAnsi="宋体" w:eastAsia="宋体" w:cs="宋体"/>
                <w:color w:val="auto"/>
                <w:spacing w:val="6"/>
                <w:sz w:val="24"/>
                <w:szCs w:val="24"/>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730" w:hRule="atLeast"/>
          <w:jc w:val="center"/>
        </w:trPr>
        <w:tc>
          <w:tcPr>
            <w:tcW w:w="1536" w:type="dxa"/>
            <w:tcBorders>
              <w:tl2br w:val="nil"/>
              <w:tr2bl w:val="nil"/>
            </w:tcBorders>
            <w:vAlign w:val="center"/>
          </w:tcPr>
          <w:p>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注册资金</w:t>
            </w:r>
          </w:p>
        </w:tc>
        <w:tc>
          <w:tcPr>
            <w:tcW w:w="2185" w:type="dxa"/>
            <w:gridSpan w:val="2"/>
            <w:tcBorders>
              <w:tl2br w:val="nil"/>
              <w:tr2bl w:val="nil"/>
            </w:tcBorders>
            <w:vAlign w:val="center"/>
          </w:tcPr>
          <w:p>
            <w:pPr>
              <w:spacing w:line="240" w:lineRule="auto"/>
              <w:ind w:right="13"/>
              <w:jc w:val="center"/>
              <w:rPr>
                <w:rFonts w:ascii="宋体" w:hAnsi="宋体" w:eastAsia="宋体" w:cs="宋体"/>
                <w:color w:val="auto"/>
                <w:spacing w:val="6"/>
                <w:sz w:val="24"/>
                <w:szCs w:val="24"/>
                <w:highlight w:val="none"/>
              </w:rPr>
            </w:pPr>
          </w:p>
        </w:tc>
        <w:tc>
          <w:tcPr>
            <w:tcW w:w="1241" w:type="dxa"/>
            <w:vMerge w:val="continue"/>
            <w:tcBorders>
              <w:tl2br w:val="nil"/>
              <w:tr2bl w:val="nil"/>
            </w:tcBorders>
            <w:vAlign w:val="center"/>
          </w:tcPr>
          <w:p>
            <w:pPr>
              <w:spacing w:line="240" w:lineRule="auto"/>
              <w:ind w:right="13"/>
              <w:jc w:val="center"/>
              <w:rPr>
                <w:rFonts w:ascii="宋体" w:hAnsi="宋体" w:eastAsia="宋体" w:cs="宋体"/>
                <w:color w:val="auto"/>
                <w:spacing w:val="6"/>
                <w:sz w:val="24"/>
                <w:szCs w:val="24"/>
                <w:highlight w:val="none"/>
              </w:rPr>
            </w:pPr>
          </w:p>
        </w:tc>
        <w:tc>
          <w:tcPr>
            <w:tcW w:w="1471" w:type="dxa"/>
            <w:gridSpan w:val="2"/>
            <w:tcBorders>
              <w:tl2br w:val="nil"/>
              <w:tr2bl w:val="nil"/>
            </w:tcBorders>
            <w:vAlign w:val="center"/>
          </w:tcPr>
          <w:p>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中级职称人</w:t>
            </w:r>
          </w:p>
          <w:p>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员</w:t>
            </w:r>
          </w:p>
        </w:tc>
        <w:tc>
          <w:tcPr>
            <w:tcW w:w="1785" w:type="dxa"/>
            <w:gridSpan w:val="2"/>
            <w:tcBorders>
              <w:tl2br w:val="nil"/>
              <w:tr2bl w:val="nil"/>
            </w:tcBorders>
            <w:vAlign w:val="center"/>
          </w:tcPr>
          <w:p>
            <w:pPr>
              <w:spacing w:line="240" w:lineRule="auto"/>
              <w:ind w:right="13"/>
              <w:jc w:val="center"/>
              <w:rPr>
                <w:rFonts w:ascii="宋体" w:hAnsi="宋体" w:eastAsia="宋体" w:cs="宋体"/>
                <w:color w:val="auto"/>
                <w:spacing w:val="6"/>
                <w:sz w:val="24"/>
                <w:szCs w:val="24"/>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730" w:hRule="atLeast"/>
          <w:jc w:val="center"/>
        </w:trPr>
        <w:tc>
          <w:tcPr>
            <w:tcW w:w="1536" w:type="dxa"/>
            <w:tcBorders>
              <w:tl2br w:val="nil"/>
              <w:tr2bl w:val="nil"/>
            </w:tcBorders>
            <w:vAlign w:val="center"/>
          </w:tcPr>
          <w:p>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开户银行</w:t>
            </w:r>
          </w:p>
        </w:tc>
        <w:tc>
          <w:tcPr>
            <w:tcW w:w="2185" w:type="dxa"/>
            <w:gridSpan w:val="2"/>
            <w:tcBorders>
              <w:tl2br w:val="nil"/>
              <w:tr2bl w:val="nil"/>
            </w:tcBorders>
            <w:vAlign w:val="center"/>
          </w:tcPr>
          <w:p>
            <w:pPr>
              <w:spacing w:line="240" w:lineRule="auto"/>
              <w:ind w:right="13"/>
              <w:jc w:val="center"/>
              <w:rPr>
                <w:rFonts w:ascii="宋体" w:hAnsi="宋体" w:eastAsia="宋体" w:cs="宋体"/>
                <w:color w:val="auto"/>
                <w:spacing w:val="6"/>
                <w:sz w:val="24"/>
                <w:szCs w:val="24"/>
                <w:highlight w:val="none"/>
              </w:rPr>
            </w:pPr>
          </w:p>
        </w:tc>
        <w:tc>
          <w:tcPr>
            <w:tcW w:w="1241" w:type="dxa"/>
            <w:vMerge w:val="continue"/>
            <w:tcBorders>
              <w:tl2br w:val="nil"/>
              <w:tr2bl w:val="nil"/>
            </w:tcBorders>
            <w:vAlign w:val="center"/>
          </w:tcPr>
          <w:p>
            <w:pPr>
              <w:spacing w:line="240" w:lineRule="auto"/>
              <w:ind w:right="13"/>
              <w:jc w:val="center"/>
              <w:rPr>
                <w:rFonts w:ascii="宋体" w:hAnsi="宋体" w:eastAsia="宋体" w:cs="宋体"/>
                <w:color w:val="auto"/>
                <w:spacing w:val="6"/>
                <w:sz w:val="24"/>
                <w:szCs w:val="24"/>
                <w:highlight w:val="none"/>
              </w:rPr>
            </w:pPr>
          </w:p>
        </w:tc>
        <w:tc>
          <w:tcPr>
            <w:tcW w:w="1471" w:type="dxa"/>
            <w:gridSpan w:val="2"/>
            <w:tcBorders>
              <w:tl2br w:val="nil"/>
              <w:tr2bl w:val="nil"/>
            </w:tcBorders>
            <w:vAlign w:val="center"/>
          </w:tcPr>
          <w:p>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初级职称人 员</w:t>
            </w:r>
          </w:p>
        </w:tc>
        <w:tc>
          <w:tcPr>
            <w:tcW w:w="1785" w:type="dxa"/>
            <w:gridSpan w:val="2"/>
            <w:tcBorders>
              <w:tl2br w:val="nil"/>
              <w:tr2bl w:val="nil"/>
            </w:tcBorders>
            <w:vAlign w:val="center"/>
          </w:tcPr>
          <w:p>
            <w:pPr>
              <w:spacing w:line="240" w:lineRule="auto"/>
              <w:ind w:right="13"/>
              <w:jc w:val="center"/>
              <w:rPr>
                <w:rFonts w:ascii="宋体" w:hAnsi="宋体" w:eastAsia="宋体" w:cs="宋体"/>
                <w:color w:val="auto"/>
                <w:spacing w:val="6"/>
                <w:sz w:val="24"/>
                <w:szCs w:val="24"/>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52" w:hRule="atLeast"/>
          <w:jc w:val="center"/>
        </w:trPr>
        <w:tc>
          <w:tcPr>
            <w:tcW w:w="1536" w:type="dxa"/>
            <w:tcBorders>
              <w:tl2br w:val="nil"/>
              <w:tr2bl w:val="nil"/>
            </w:tcBorders>
            <w:vAlign w:val="center"/>
          </w:tcPr>
          <w:p>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账号</w:t>
            </w:r>
          </w:p>
        </w:tc>
        <w:tc>
          <w:tcPr>
            <w:tcW w:w="2185" w:type="dxa"/>
            <w:gridSpan w:val="2"/>
            <w:tcBorders>
              <w:tl2br w:val="nil"/>
              <w:tr2bl w:val="nil"/>
            </w:tcBorders>
            <w:vAlign w:val="center"/>
          </w:tcPr>
          <w:p>
            <w:pPr>
              <w:spacing w:line="240" w:lineRule="auto"/>
              <w:ind w:right="13"/>
              <w:jc w:val="center"/>
              <w:rPr>
                <w:rFonts w:ascii="宋体" w:hAnsi="宋体" w:eastAsia="宋体" w:cs="宋体"/>
                <w:color w:val="auto"/>
                <w:spacing w:val="6"/>
                <w:sz w:val="24"/>
                <w:szCs w:val="24"/>
                <w:highlight w:val="none"/>
              </w:rPr>
            </w:pPr>
          </w:p>
        </w:tc>
        <w:tc>
          <w:tcPr>
            <w:tcW w:w="1241" w:type="dxa"/>
            <w:vMerge w:val="continue"/>
            <w:tcBorders>
              <w:tl2br w:val="nil"/>
              <w:tr2bl w:val="nil"/>
            </w:tcBorders>
            <w:vAlign w:val="center"/>
          </w:tcPr>
          <w:p>
            <w:pPr>
              <w:spacing w:line="240" w:lineRule="auto"/>
              <w:ind w:right="13"/>
              <w:jc w:val="center"/>
              <w:rPr>
                <w:rFonts w:ascii="宋体" w:hAnsi="宋体" w:eastAsia="宋体" w:cs="宋体"/>
                <w:color w:val="auto"/>
                <w:spacing w:val="6"/>
                <w:sz w:val="24"/>
                <w:szCs w:val="24"/>
                <w:highlight w:val="none"/>
              </w:rPr>
            </w:pPr>
          </w:p>
        </w:tc>
        <w:tc>
          <w:tcPr>
            <w:tcW w:w="1471" w:type="dxa"/>
            <w:gridSpan w:val="2"/>
            <w:tcBorders>
              <w:tl2br w:val="nil"/>
              <w:tr2bl w:val="nil"/>
            </w:tcBorders>
            <w:vAlign w:val="center"/>
          </w:tcPr>
          <w:p>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技工</w:t>
            </w:r>
          </w:p>
        </w:tc>
        <w:tc>
          <w:tcPr>
            <w:tcW w:w="1785" w:type="dxa"/>
            <w:gridSpan w:val="2"/>
            <w:tcBorders>
              <w:tl2br w:val="nil"/>
              <w:tr2bl w:val="nil"/>
            </w:tcBorders>
            <w:vAlign w:val="center"/>
          </w:tcPr>
          <w:p>
            <w:pPr>
              <w:spacing w:line="240" w:lineRule="auto"/>
              <w:ind w:right="13"/>
              <w:jc w:val="center"/>
              <w:rPr>
                <w:rFonts w:ascii="宋体" w:hAnsi="宋体" w:eastAsia="宋体" w:cs="宋体"/>
                <w:color w:val="auto"/>
                <w:spacing w:val="6"/>
                <w:sz w:val="24"/>
                <w:szCs w:val="24"/>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149" w:hRule="atLeast"/>
          <w:jc w:val="center"/>
        </w:trPr>
        <w:tc>
          <w:tcPr>
            <w:tcW w:w="1536" w:type="dxa"/>
            <w:tcBorders>
              <w:tl2br w:val="nil"/>
              <w:tr2bl w:val="nil"/>
            </w:tcBorders>
            <w:vAlign w:val="center"/>
          </w:tcPr>
          <w:p>
            <w:pPr>
              <w:spacing w:line="240" w:lineRule="auto"/>
              <w:ind w:right="13"/>
              <w:jc w:val="center"/>
              <w:rPr>
                <w:rFonts w:ascii="宋体" w:hAnsi="宋体" w:eastAsia="宋体" w:cs="宋体"/>
                <w:color w:val="auto"/>
                <w:spacing w:val="6"/>
                <w:sz w:val="24"/>
                <w:szCs w:val="24"/>
                <w:highlight w:val="none"/>
              </w:rPr>
            </w:pPr>
          </w:p>
          <w:p>
            <w:pPr>
              <w:spacing w:line="240" w:lineRule="auto"/>
              <w:ind w:right="13"/>
              <w:jc w:val="center"/>
              <w:rPr>
                <w:rFonts w:ascii="宋体" w:hAnsi="宋体" w:eastAsia="宋体" w:cs="宋体"/>
                <w:color w:val="auto"/>
                <w:spacing w:val="6"/>
                <w:sz w:val="24"/>
                <w:szCs w:val="24"/>
                <w:highlight w:val="none"/>
              </w:rPr>
            </w:pPr>
          </w:p>
          <w:p>
            <w:pPr>
              <w:spacing w:line="240" w:lineRule="auto"/>
              <w:ind w:right="13"/>
              <w:jc w:val="center"/>
              <w:rPr>
                <w:rFonts w:ascii="宋体" w:hAnsi="宋体" w:eastAsia="宋体" w:cs="宋体"/>
                <w:color w:val="auto"/>
                <w:spacing w:val="6"/>
                <w:sz w:val="24"/>
                <w:szCs w:val="24"/>
                <w:highlight w:val="none"/>
              </w:rPr>
            </w:pPr>
          </w:p>
          <w:p>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经营范围</w:t>
            </w:r>
          </w:p>
        </w:tc>
        <w:tc>
          <w:tcPr>
            <w:tcW w:w="6682" w:type="dxa"/>
            <w:gridSpan w:val="7"/>
            <w:tcBorders>
              <w:tl2br w:val="nil"/>
              <w:tr2bl w:val="nil"/>
            </w:tcBorders>
            <w:vAlign w:val="center"/>
          </w:tcPr>
          <w:p>
            <w:pPr>
              <w:spacing w:line="240" w:lineRule="auto"/>
              <w:ind w:right="13"/>
              <w:jc w:val="center"/>
              <w:rPr>
                <w:rFonts w:ascii="宋体" w:hAnsi="宋体" w:eastAsia="宋体" w:cs="宋体"/>
                <w:color w:val="auto"/>
                <w:spacing w:val="6"/>
                <w:sz w:val="24"/>
                <w:szCs w:val="24"/>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1117" w:hRule="atLeast"/>
          <w:jc w:val="center"/>
        </w:trPr>
        <w:tc>
          <w:tcPr>
            <w:tcW w:w="1536" w:type="dxa"/>
            <w:tcBorders>
              <w:tl2br w:val="nil"/>
              <w:tr2bl w:val="nil"/>
            </w:tcBorders>
            <w:vAlign w:val="center"/>
          </w:tcPr>
          <w:p>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备注</w:t>
            </w:r>
          </w:p>
        </w:tc>
        <w:tc>
          <w:tcPr>
            <w:tcW w:w="6682" w:type="dxa"/>
            <w:gridSpan w:val="7"/>
            <w:tcBorders>
              <w:tl2br w:val="nil"/>
              <w:tr2bl w:val="nil"/>
            </w:tcBorders>
            <w:vAlign w:val="center"/>
          </w:tcPr>
          <w:p>
            <w:pPr>
              <w:spacing w:line="240" w:lineRule="auto"/>
              <w:ind w:right="13"/>
              <w:jc w:val="center"/>
              <w:rPr>
                <w:rFonts w:ascii="宋体" w:hAnsi="宋体" w:eastAsia="宋体" w:cs="宋体"/>
                <w:color w:val="auto"/>
                <w:spacing w:val="6"/>
                <w:sz w:val="24"/>
                <w:szCs w:val="24"/>
                <w:highlight w:val="none"/>
              </w:rPr>
            </w:pPr>
          </w:p>
        </w:tc>
      </w:tr>
    </w:tbl>
    <w:p>
      <w:pPr>
        <w:spacing w:before="75" w:line="240" w:lineRule="auto"/>
        <w:ind w:left="493"/>
        <w:rPr>
          <w:rFonts w:ascii="宋体" w:hAnsi="宋体" w:eastAsia="宋体" w:cs="宋体"/>
          <w:b/>
          <w:bCs/>
          <w:color w:val="auto"/>
          <w:spacing w:val="9"/>
          <w:sz w:val="24"/>
          <w:szCs w:val="24"/>
          <w:highlight w:val="none"/>
        </w:rPr>
      </w:pPr>
      <w:r>
        <w:rPr>
          <w:rFonts w:hint="eastAsia" w:ascii="宋体" w:hAnsi="宋体" w:eastAsia="宋体" w:cs="宋体"/>
          <w:b/>
          <w:bCs/>
          <w:color w:val="auto"/>
          <w:spacing w:val="9"/>
          <w:sz w:val="24"/>
          <w:szCs w:val="24"/>
          <w:highlight w:val="none"/>
        </w:rPr>
        <w:t xml:space="preserve">注：此表格中需要填写的若无涉及可不填写此项或“/”。 </w:t>
      </w:r>
    </w:p>
    <w:p>
      <w:pPr>
        <w:spacing w:before="76" w:line="240" w:lineRule="auto"/>
        <w:ind w:left="494" w:right="589" w:firstLine="1"/>
        <w:rPr>
          <w:rFonts w:ascii="宋体" w:hAnsi="宋体" w:eastAsia="宋体" w:cs="宋体"/>
          <w:color w:val="auto"/>
          <w:sz w:val="24"/>
          <w:szCs w:val="24"/>
          <w:highlight w:val="none"/>
        </w:rPr>
      </w:pPr>
    </w:p>
    <w:p>
      <w:pPr>
        <w:spacing w:before="76" w:line="240" w:lineRule="auto"/>
        <w:ind w:left="494" w:right="589" w:firstLine="1"/>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投标人名称：</w:t>
      </w:r>
      <w:r>
        <w:rPr>
          <w:rFonts w:ascii="宋体" w:hAnsi="宋体" w:eastAsia="宋体" w:cs="宋体"/>
          <w:color w:val="auto"/>
          <w:spacing w:val="-1"/>
          <w:sz w:val="24"/>
          <w:szCs w:val="24"/>
          <w:highlight w:val="none"/>
          <w:u w:val="single"/>
        </w:rPr>
        <w:t xml:space="preserve">        </w:t>
      </w:r>
      <w:r>
        <w:rPr>
          <w:rFonts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(盖单位公章)</w:t>
      </w:r>
      <w:r>
        <w:rPr>
          <w:rFonts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rPr>
        <w:t xml:space="preserve"> </w:t>
      </w:r>
    </w:p>
    <w:p>
      <w:pPr>
        <w:spacing w:before="77" w:line="240" w:lineRule="auto"/>
        <w:ind w:left="494"/>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法定代表人/单位负责人或授权代表(签字或加盖个人名章) ：</w:t>
      </w:r>
      <w:r>
        <w:rPr>
          <w:rFonts w:ascii="宋体" w:hAnsi="宋体" w:eastAsia="宋体" w:cs="宋体"/>
          <w:color w:val="auto"/>
          <w:sz w:val="24"/>
          <w:szCs w:val="24"/>
          <w:highlight w:val="none"/>
          <w:u w:val="single"/>
        </w:rPr>
        <w:t xml:space="preserve">        </w:t>
      </w:r>
    </w:p>
    <w:p>
      <w:pPr>
        <w:spacing w:before="78" w:line="240" w:lineRule="auto"/>
        <w:ind w:left="535"/>
        <w:rPr>
          <w:rFonts w:ascii="宋体" w:hAnsi="宋体" w:eastAsia="宋体" w:cs="宋体"/>
          <w:color w:val="auto"/>
          <w:sz w:val="23"/>
          <w:szCs w:val="23"/>
          <w:highlight w:val="none"/>
        </w:rPr>
      </w:pPr>
      <w:r>
        <w:rPr>
          <w:rFonts w:hint="eastAsia" w:ascii="宋体" w:hAnsi="宋体" w:eastAsia="宋体" w:cs="宋体"/>
          <w:color w:val="auto"/>
          <w:sz w:val="24"/>
          <w:szCs w:val="24"/>
          <w:highlight w:val="none"/>
        </w:rPr>
        <w:t>日    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pPr>
        <w:spacing w:before="0" w:line="240" w:lineRule="auto"/>
        <w:ind w:left="0"/>
        <w:rPr>
          <w:rFonts w:ascii="宋体" w:hAnsi="宋体" w:eastAsia="宋体" w:cs="宋体"/>
          <w:color w:val="auto"/>
          <w:sz w:val="23"/>
          <w:szCs w:val="23"/>
          <w:highlight w:val="none"/>
        </w:rPr>
      </w:pPr>
      <w:r>
        <w:rPr>
          <w:rFonts w:hint="eastAsia" w:ascii="宋体" w:hAnsi="宋体" w:eastAsia="宋体" w:cs="宋体"/>
          <w:color w:val="auto"/>
          <w:sz w:val="23"/>
          <w:szCs w:val="23"/>
          <w:highlight w:val="none"/>
        </w:rPr>
        <w:br w:type="page"/>
      </w:r>
    </w:p>
    <w:p>
      <w:pPr>
        <w:spacing w:before="3" w:line="240" w:lineRule="auto"/>
        <w:ind w:right="13"/>
        <w:jc w:val="center"/>
        <w:outlineLvl w:val="9"/>
        <w:rPr>
          <w:rFonts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lang w:eastAsia="zh-CN"/>
        </w:rPr>
        <w:t>六</w:t>
      </w:r>
      <w:r>
        <w:rPr>
          <w:rFonts w:hint="eastAsia" w:ascii="宋体" w:hAnsi="宋体" w:eastAsia="宋体" w:cs="宋体"/>
          <w:b/>
          <w:bCs/>
          <w:color w:val="auto"/>
          <w:sz w:val="32"/>
          <w:szCs w:val="32"/>
          <w:highlight w:val="none"/>
        </w:rPr>
        <w:t>、投标人类似项目业绩一览表</w:t>
      </w:r>
    </w:p>
    <w:p>
      <w:pPr>
        <w:spacing w:line="240" w:lineRule="auto"/>
        <w:rPr>
          <w:color w:val="auto"/>
          <w:highlight w:val="none"/>
        </w:rPr>
      </w:pPr>
    </w:p>
    <w:p>
      <w:pPr>
        <w:spacing w:line="240" w:lineRule="auto"/>
        <w:rPr>
          <w:color w:val="auto"/>
          <w:highlight w:val="none"/>
        </w:rPr>
      </w:pPr>
    </w:p>
    <w:tbl>
      <w:tblPr>
        <w:tblStyle w:val="23"/>
        <w:tblW w:w="8581"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24"/>
        <w:gridCol w:w="1419"/>
        <w:gridCol w:w="20"/>
        <w:gridCol w:w="1300"/>
        <w:gridCol w:w="20"/>
        <w:gridCol w:w="1161"/>
        <w:gridCol w:w="1265"/>
        <w:gridCol w:w="1912"/>
        <w:gridCol w:w="76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2" w:hRule="atLeast"/>
          <w:jc w:val="center"/>
        </w:trPr>
        <w:tc>
          <w:tcPr>
            <w:tcW w:w="724" w:type="dxa"/>
            <w:tcBorders>
              <w:right w:val="single" w:color="000000" w:sz="4" w:space="0"/>
            </w:tcBorders>
            <w:vAlign w:val="center"/>
          </w:tcPr>
          <w:p>
            <w:pPr>
              <w:spacing w:line="240" w:lineRule="auto"/>
              <w:ind w:right="13"/>
              <w:jc w:val="center"/>
              <w:rPr>
                <w:rFonts w:ascii="宋体" w:hAnsi="宋体" w:eastAsia="宋体" w:cs="宋体"/>
                <w:color w:val="auto"/>
                <w:spacing w:val="6"/>
                <w:sz w:val="23"/>
                <w:szCs w:val="23"/>
                <w:highlight w:val="none"/>
              </w:rPr>
            </w:pPr>
            <w:r>
              <w:rPr>
                <w:rFonts w:hint="eastAsia" w:ascii="宋体" w:hAnsi="宋体" w:eastAsia="宋体" w:cs="宋体"/>
                <w:color w:val="auto"/>
                <w:spacing w:val="6"/>
                <w:sz w:val="23"/>
                <w:szCs w:val="23"/>
                <w:highlight w:val="none"/>
              </w:rPr>
              <w:t>年份</w:t>
            </w:r>
          </w:p>
        </w:tc>
        <w:tc>
          <w:tcPr>
            <w:tcW w:w="1419" w:type="dxa"/>
            <w:tcBorders>
              <w:left w:val="single" w:color="000000" w:sz="4" w:space="0"/>
              <w:right w:val="single" w:color="000000" w:sz="4" w:space="0"/>
            </w:tcBorders>
            <w:vAlign w:val="center"/>
          </w:tcPr>
          <w:p>
            <w:pPr>
              <w:spacing w:line="240" w:lineRule="auto"/>
              <w:ind w:right="13"/>
              <w:jc w:val="center"/>
              <w:rPr>
                <w:rFonts w:ascii="宋体" w:hAnsi="宋体" w:eastAsia="宋体" w:cs="宋体"/>
                <w:color w:val="auto"/>
                <w:spacing w:val="6"/>
                <w:sz w:val="23"/>
                <w:szCs w:val="23"/>
                <w:highlight w:val="none"/>
              </w:rPr>
            </w:pPr>
            <w:r>
              <w:rPr>
                <w:rFonts w:hint="eastAsia" w:ascii="宋体" w:hAnsi="宋体" w:eastAsia="宋体" w:cs="宋体"/>
                <w:color w:val="auto"/>
                <w:spacing w:val="6"/>
                <w:sz w:val="23"/>
                <w:szCs w:val="23"/>
                <w:highlight w:val="none"/>
              </w:rPr>
              <w:t>用户名称</w:t>
            </w:r>
          </w:p>
        </w:tc>
        <w:tc>
          <w:tcPr>
            <w:tcW w:w="1320" w:type="dxa"/>
            <w:gridSpan w:val="2"/>
            <w:tcBorders>
              <w:left w:val="single" w:color="000000" w:sz="4" w:space="0"/>
              <w:right w:val="single" w:color="000000" w:sz="4" w:space="0"/>
            </w:tcBorders>
            <w:vAlign w:val="center"/>
          </w:tcPr>
          <w:p>
            <w:pPr>
              <w:spacing w:line="240" w:lineRule="auto"/>
              <w:ind w:right="13"/>
              <w:jc w:val="center"/>
              <w:rPr>
                <w:rFonts w:ascii="宋体" w:hAnsi="宋体" w:eastAsia="宋体" w:cs="宋体"/>
                <w:color w:val="auto"/>
                <w:spacing w:val="6"/>
                <w:sz w:val="23"/>
                <w:szCs w:val="23"/>
                <w:highlight w:val="none"/>
              </w:rPr>
            </w:pPr>
            <w:r>
              <w:rPr>
                <w:rFonts w:hint="eastAsia" w:ascii="宋体" w:hAnsi="宋体" w:eastAsia="宋体" w:cs="宋体"/>
                <w:color w:val="auto"/>
                <w:spacing w:val="6"/>
                <w:sz w:val="23"/>
                <w:szCs w:val="23"/>
                <w:highlight w:val="none"/>
              </w:rPr>
              <w:t>项目名称</w:t>
            </w:r>
          </w:p>
        </w:tc>
        <w:tc>
          <w:tcPr>
            <w:tcW w:w="1181" w:type="dxa"/>
            <w:gridSpan w:val="2"/>
            <w:tcBorders>
              <w:left w:val="single" w:color="000000" w:sz="4" w:space="0"/>
              <w:right w:val="single" w:color="000000" w:sz="4" w:space="0"/>
            </w:tcBorders>
            <w:vAlign w:val="center"/>
          </w:tcPr>
          <w:p>
            <w:pPr>
              <w:spacing w:line="240" w:lineRule="auto"/>
              <w:ind w:right="13"/>
              <w:jc w:val="center"/>
              <w:rPr>
                <w:rFonts w:ascii="宋体" w:hAnsi="宋体" w:eastAsia="宋体" w:cs="宋体"/>
                <w:color w:val="auto"/>
                <w:spacing w:val="6"/>
                <w:sz w:val="23"/>
                <w:szCs w:val="23"/>
                <w:highlight w:val="none"/>
              </w:rPr>
            </w:pPr>
            <w:r>
              <w:rPr>
                <w:rFonts w:hint="eastAsia" w:ascii="宋体" w:hAnsi="宋体" w:eastAsia="宋体" w:cs="宋体"/>
                <w:color w:val="auto"/>
                <w:spacing w:val="6"/>
                <w:sz w:val="23"/>
                <w:szCs w:val="23"/>
                <w:highlight w:val="none"/>
              </w:rPr>
              <w:t>完成时间</w:t>
            </w:r>
          </w:p>
        </w:tc>
        <w:tc>
          <w:tcPr>
            <w:tcW w:w="1265" w:type="dxa"/>
            <w:tcBorders>
              <w:left w:val="single" w:color="000000" w:sz="4" w:space="0"/>
              <w:right w:val="single" w:color="000000" w:sz="4" w:space="0"/>
            </w:tcBorders>
            <w:vAlign w:val="center"/>
          </w:tcPr>
          <w:p>
            <w:pPr>
              <w:spacing w:line="240" w:lineRule="auto"/>
              <w:ind w:right="13"/>
              <w:jc w:val="center"/>
              <w:rPr>
                <w:rFonts w:ascii="宋体" w:hAnsi="宋体" w:eastAsia="宋体" w:cs="宋体"/>
                <w:color w:val="auto"/>
                <w:spacing w:val="6"/>
                <w:sz w:val="23"/>
                <w:szCs w:val="23"/>
                <w:highlight w:val="none"/>
              </w:rPr>
            </w:pPr>
            <w:r>
              <w:rPr>
                <w:rFonts w:hint="eastAsia" w:ascii="宋体" w:hAnsi="宋体" w:eastAsia="宋体" w:cs="宋体"/>
                <w:color w:val="auto"/>
                <w:spacing w:val="6"/>
                <w:sz w:val="23"/>
                <w:szCs w:val="23"/>
                <w:highlight w:val="none"/>
              </w:rPr>
              <w:t>合同金额</w:t>
            </w:r>
          </w:p>
        </w:tc>
        <w:tc>
          <w:tcPr>
            <w:tcW w:w="1912" w:type="dxa"/>
            <w:tcBorders>
              <w:left w:val="single" w:color="000000" w:sz="4" w:space="0"/>
            </w:tcBorders>
            <w:vAlign w:val="center"/>
          </w:tcPr>
          <w:p>
            <w:pPr>
              <w:spacing w:line="240" w:lineRule="auto"/>
              <w:ind w:right="13"/>
              <w:jc w:val="center"/>
              <w:rPr>
                <w:rFonts w:ascii="宋体" w:hAnsi="宋体" w:eastAsia="宋体" w:cs="宋体"/>
                <w:color w:val="auto"/>
                <w:spacing w:val="6"/>
                <w:sz w:val="23"/>
                <w:szCs w:val="23"/>
                <w:highlight w:val="none"/>
              </w:rPr>
            </w:pPr>
            <w:r>
              <w:rPr>
                <w:rFonts w:hint="eastAsia" w:ascii="宋体" w:hAnsi="宋体" w:eastAsia="宋体" w:cs="宋体"/>
                <w:color w:val="auto"/>
                <w:spacing w:val="6"/>
                <w:sz w:val="23"/>
                <w:szCs w:val="23"/>
                <w:highlight w:val="none"/>
              </w:rPr>
              <w:t>是否通过验收</w:t>
            </w:r>
          </w:p>
        </w:tc>
        <w:tc>
          <w:tcPr>
            <w:tcW w:w="760" w:type="dxa"/>
            <w:vAlign w:val="center"/>
          </w:tcPr>
          <w:p>
            <w:pPr>
              <w:spacing w:line="240" w:lineRule="auto"/>
              <w:ind w:right="13"/>
              <w:jc w:val="center"/>
              <w:rPr>
                <w:rFonts w:ascii="宋体" w:hAnsi="宋体" w:eastAsia="宋体" w:cs="宋体"/>
                <w:color w:val="auto"/>
                <w:spacing w:val="6"/>
                <w:sz w:val="23"/>
                <w:szCs w:val="23"/>
                <w:highlight w:val="none"/>
              </w:rPr>
            </w:pPr>
            <w:r>
              <w:rPr>
                <w:rFonts w:hint="eastAsia" w:ascii="宋体" w:hAnsi="宋体" w:eastAsia="宋体" w:cs="宋体"/>
                <w:color w:val="auto"/>
                <w:spacing w:val="6"/>
                <w:sz w:val="23"/>
                <w:szCs w:val="23"/>
                <w:highlight w:val="none"/>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0" w:hRule="atLeast"/>
          <w:jc w:val="center"/>
        </w:trPr>
        <w:tc>
          <w:tcPr>
            <w:tcW w:w="724" w:type="dxa"/>
            <w:tcBorders>
              <w:right w:val="single" w:color="000000" w:sz="4" w:space="0"/>
            </w:tcBorders>
          </w:tcPr>
          <w:p>
            <w:pPr>
              <w:spacing w:line="240" w:lineRule="auto"/>
              <w:rPr>
                <w:color w:val="auto"/>
                <w:highlight w:val="none"/>
              </w:rPr>
            </w:pPr>
          </w:p>
        </w:tc>
        <w:tc>
          <w:tcPr>
            <w:tcW w:w="1419" w:type="dxa"/>
            <w:tcBorders>
              <w:left w:val="single" w:color="000000" w:sz="4" w:space="0"/>
              <w:right w:val="single" w:color="000000" w:sz="4" w:space="0"/>
            </w:tcBorders>
          </w:tcPr>
          <w:p>
            <w:pPr>
              <w:spacing w:line="240" w:lineRule="auto"/>
              <w:rPr>
                <w:color w:val="auto"/>
                <w:highlight w:val="none"/>
              </w:rPr>
            </w:pPr>
          </w:p>
        </w:tc>
        <w:tc>
          <w:tcPr>
            <w:tcW w:w="1320" w:type="dxa"/>
            <w:gridSpan w:val="2"/>
            <w:tcBorders>
              <w:left w:val="single" w:color="000000" w:sz="4" w:space="0"/>
              <w:right w:val="single" w:color="000000" w:sz="4" w:space="0"/>
            </w:tcBorders>
          </w:tcPr>
          <w:p>
            <w:pPr>
              <w:spacing w:line="240" w:lineRule="auto"/>
              <w:rPr>
                <w:color w:val="auto"/>
                <w:highlight w:val="none"/>
              </w:rPr>
            </w:pPr>
          </w:p>
        </w:tc>
        <w:tc>
          <w:tcPr>
            <w:tcW w:w="1181" w:type="dxa"/>
            <w:gridSpan w:val="2"/>
            <w:tcBorders>
              <w:left w:val="single" w:color="000000" w:sz="4" w:space="0"/>
              <w:right w:val="single" w:color="000000" w:sz="4" w:space="0"/>
            </w:tcBorders>
          </w:tcPr>
          <w:p>
            <w:pPr>
              <w:spacing w:line="240" w:lineRule="auto"/>
              <w:rPr>
                <w:color w:val="auto"/>
                <w:highlight w:val="none"/>
              </w:rPr>
            </w:pPr>
          </w:p>
        </w:tc>
        <w:tc>
          <w:tcPr>
            <w:tcW w:w="1265" w:type="dxa"/>
            <w:tcBorders>
              <w:left w:val="single" w:color="000000" w:sz="4" w:space="0"/>
              <w:right w:val="single" w:color="000000" w:sz="4" w:space="0"/>
            </w:tcBorders>
          </w:tcPr>
          <w:p>
            <w:pPr>
              <w:spacing w:line="240" w:lineRule="auto"/>
              <w:rPr>
                <w:color w:val="auto"/>
                <w:highlight w:val="none"/>
              </w:rPr>
            </w:pPr>
          </w:p>
        </w:tc>
        <w:tc>
          <w:tcPr>
            <w:tcW w:w="1912" w:type="dxa"/>
            <w:tcBorders>
              <w:left w:val="single" w:color="000000" w:sz="4" w:space="0"/>
            </w:tcBorders>
          </w:tcPr>
          <w:p>
            <w:pPr>
              <w:spacing w:line="240" w:lineRule="auto"/>
              <w:rPr>
                <w:color w:val="auto"/>
                <w:highlight w:val="none"/>
              </w:rPr>
            </w:pPr>
          </w:p>
        </w:tc>
        <w:tc>
          <w:tcPr>
            <w:tcW w:w="760" w:type="dxa"/>
          </w:tcPr>
          <w:p>
            <w:pPr>
              <w:spacing w:line="240" w:lineRule="auto"/>
              <w:rPr>
                <w:color w:val="auto"/>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0" w:hRule="atLeast"/>
          <w:jc w:val="center"/>
        </w:trPr>
        <w:tc>
          <w:tcPr>
            <w:tcW w:w="724" w:type="dxa"/>
            <w:tcBorders>
              <w:right w:val="single" w:color="000000" w:sz="4" w:space="0"/>
            </w:tcBorders>
          </w:tcPr>
          <w:p>
            <w:pPr>
              <w:spacing w:line="240" w:lineRule="auto"/>
              <w:rPr>
                <w:color w:val="auto"/>
                <w:highlight w:val="none"/>
              </w:rPr>
            </w:pPr>
          </w:p>
        </w:tc>
        <w:tc>
          <w:tcPr>
            <w:tcW w:w="1419" w:type="dxa"/>
            <w:tcBorders>
              <w:left w:val="single" w:color="000000" w:sz="4" w:space="0"/>
              <w:right w:val="single" w:color="000000" w:sz="4" w:space="0"/>
            </w:tcBorders>
          </w:tcPr>
          <w:p>
            <w:pPr>
              <w:spacing w:line="240" w:lineRule="auto"/>
              <w:rPr>
                <w:color w:val="auto"/>
                <w:highlight w:val="none"/>
              </w:rPr>
            </w:pPr>
          </w:p>
        </w:tc>
        <w:tc>
          <w:tcPr>
            <w:tcW w:w="1320" w:type="dxa"/>
            <w:gridSpan w:val="2"/>
            <w:tcBorders>
              <w:left w:val="single" w:color="000000" w:sz="4" w:space="0"/>
              <w:right w:val="single" w:color="000000" w:sz="4" w:space="0"/>
            </w:tcBorders>
          </w:tcPr>
          <w:p>
            <w:pPr>
              <w:spacing w:line="240" w:lineRule="auto"/>
              <w:rPr>
                <w:color w:val="auto"/>
                <w:highlight w:val="none"/>
              </w:rPr>
            </w:pPr>
          </w:p>
        </w:tc>
        <w:tc>
          <w:tcPr>
            <w:tcW w:w="1181" w:type="dxa"/>
            <w:gridSpan w:val="2"/>
            <w:tcBorders>
              <w:left w:val="single" w:color="000000" w:sz="4" w:space="0"/>
              <w:right w:val="single" w:color="000000" w:sz="4" w:space="0"/>
            </w:tcBorders>
          </w:tcPr>
          <w:p>
            <w:pPr>
              <w:spacing w:line="240" w:lineRule="auto"/>
              <w:rPr>
                <w:color w:val="auto"/>
                <w:highlight w:val="none"/>
              </w:rPr>
            </w:pPr>
          </w:p>
        </w:tc>
        <w:tc>
          <w:tcPr>
            <w:tcW w:w="1265" w:type="dxa"/>
            <w:tcBorders>
              <w:left w:val="single" w:color="000000" w:sz="4" w:space="0"/>
              <w:right w:val="single" w:color="000000" w:sz="4" w:space="0"/>
            </w:tcBorders>
          </w:tcPr>
          <w:p>
            <w:pPr>
              <w:spacing w:line="240" w:lineRule="auto"/>
              <w:rPr>
                <w:color w:val="auto"/>
                <w:highlight w:val="none"/>
              </w:rPr>
            </w:pPr>
          </w:p>
        </w:tc>
        <w:tc>
          <w:tcPr>
            <w:tcW w:w="1912" w:type="dxa"/>
            <w:tcBorders>
              <w:left w:val="single" w:color="000000" w:sz="4" w:space="0"/>
            </w:tcBorders>
          </w:tcPr>
          <w:p>
            <w:pPr>
              <w:spacing w:line="240" w:lineRule="auto"/>
              <w:rPr>
                <w:color w:val="auto"/>
                <w:highlight w:val="none"/>
              </w:rPr>
            </w:pPr>
          </w:p>
        </w:tc>
        <w:tc>
          <w:tcPr>
            <w:tcW w:w="760" w:type="dxa"/>
          </w:tcPr>
          <w:p>
            <w:pPr>
              <w:spacing w:line="240" w:lineRule="auto"/>
              <w:rPr>
                <w:color w:val="auto"/>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0" w:hRule="atLeast"/>
          <w:jc w:val="center"/>
        </w:trPr>
        <w:tc>
          <w:tcPr>
            <w:tcW w:w="724" w:type="dxa"/>
            <w:tcBorders>
              <w:right w:val="single" w:color="000000" w:sz="4" w:space="0"/>
            </w:tcBorders>
          </w:tcPr>
          <w:p>
            <w:pPr>
              <w:spacing w:line="240" w:lineRule="auto"/>
              <w:rPr>
                <w:color w:val="auto"/>
                <w:highlight w:val="none"/>
              </w:rPr>
            </w:pPr>
          </w:p>
        </w:tc>
        <w:tc>
          <w:tcPr>
            <w:tcW w:w="1419" w:type="dxa"/>
            <w:tcBorders>
              <w:left w:val="single" w:color="000000" w:sz="4" w:space="0"/>
              <w:right w:val="single" w:color="000000" w:sz="4" w:space="0"/>
            </w:tcBorders>
          </w:tcPr>
          <w:p>
            <w:pPr>
              <w:spacing w:line="240" w:lineRule="auto"/>
              <w:rPr>
                <w:color w:val="auto"/>
                <w:highlight w:val="none"/>
              </w:rPr>
            </w:pPr>
          </w:p>
        </w:tc>
        <w:tc>
          <w:tcPr>
            <w:tcW w:w="1320" w:type="dxa"/>
            <w:gridSpan w:val="2"/>
            <w:tcBorders>
              <w:left w:val="single" w:color="000000" w:sz="4" w:space="0"/>
              <w:right w:val="single" w:color="000000" w:sz="4" w:space="0"/>
            </w:tcBorders>
          </w:tcPr>
          <w:p>
            <w:pPr>
              <w:spacing w:line="240" w:lineRule="auto"/>
              <w:rPr>
                <w:color w:val="auto"/>
                <w:highlight w:val="none"/>
              </w:rPr>
            </w:pPr>
          </w:p>
        </w:tc>
        <w:tc>
          <w:tcPr>
            <w:tcW w:w="1181" w:type="dxa"/>
            <w:gridSpan w:val="2"/>
            <w:tcBorders>
              <w:left w:val="single" w:color="000000" w:sz="4" w:space="0"/>
              <w:right w:val="single" w:color="000000" w:sz="4" w:space="0"/>
            </w:tcBorders>
          </w:tcPr>
          <w:p>
            <w:pPr>
              <w:spacing w:line="240" w:lineRule="auto"/>
              <w:rPr>
                <w:color w:val="auto"/>
                <w:highlight w:val="none"/>
              </w:rPr>
            </w:pPr>
          </w:p>
        </w:tc>
        <w:tc>
          <w:tcPr>
            <w:tcW w:w="1265" w:type="dxa"/>
            <w:tcBorders>
              <w:left w:val="single" w:color="000000" w:sz="4" w:space="0"/>
              <w:right w:val="single" w:color="000000" w:sz="4" w:space="0"/>
            </w:tcBorders>
          </w:tcPr>
          <w:p>
            <w:pPr>
              <w:spacing w:line="240" w:lineRule="auto"/>
              <w:rPr>
                <w:color w:val="auto"/>
                <w:highlight w:val="none"/>
              </w:rPr>
            </w:pPr>
          </w:p>
        </w:tc>
        <w:tc>
          <w:tcPr>
            <w:tcW w:w="1912" w:type="dxa"/>
            <w:tcBorders>
              <w:left w:val="single" w:color="000000" w:sz="4" w:space="0"/>
            </w:tcBorders>
          </w:tcPr>
          <w:p>
            <w:pPr>
              <w:spacing w:line="240" w:lineRule="auto"/>
              <w:rPr>
                <w:color w:val="auto"/>
                <w:highlight w:val="none"/>
              </w:rPr>
            </w:pPr>
          </w:p>
        </w:tc>
        <w:tc>
          <w:tcPr>
            <w:tcW w:w="760" w:type="dxa"/>
          </w:tcPr>
          <w:p>
            <w:pPr>
              <w:spacing w:line="240" w:lineRule="auto"/>
              <w:rPr>
                <w:color w:val="auto"/>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0" w:hRule="atLeast"/>
          <w:jc w:val="center"/>
        </w:trPr>
        <w:tc>
          <w:tcPr>
            <w:tcW w:w="724" w:type="dxa"/>
            <w:tcBorders>
              <w:right w:val="single" w:color="000000" w:sz="4" w:space="0"/>
            </w:tcBorders>
          </w:tcPr>
          <w:p>
            <w:pPr>
              <w:spacing w:line="240" w:lineRule="auto"/>
              <w:rPr>
                <w:color w:val="auto"/>
                <w:highlight w:val="none"/>
              </w:rPr>
            </w:pPr>
          </w:p>
        </w:tc>
        <w:tc>
          <w:tcPr>
            <w:tcW w:w="1439" w:type="dxa"/>
            <w:gridSpan w:val="2"/>
            <w:tcBorders>
              <w:left w:val="single" w:color="000000" w:sz="4" w:space="0"/>
            </w:tcBorders>
          </w:tcPr>
          <w:p>
            <w:pPr>
              <w:spacing w:line="240" w:lineRule="auto"/>
              <w:rPr>
                <w:color w:val="auto"/>
                <w:highlight w:val="none"/>
              </w:rPr>
            </w:pPr>
          </w:p>
        </w:tc>
        <w:tc>
          <w:tcPr>
            <w:tcW w:w="1300" w:type="dxa"/>
            <w:tcBorders>
              <w:right w:val="single" w:color="000000" w:sz="4" w:space="0"/>
            </w:tcBorders>
          </w:tcPr>
          <w:p>
            <w:pPr>
              <w:spacing w:line="240" w:lineRule="auto"/>
              <w:rPr>
                <w:color w:val="auto"/>
                <w:highlight w:val="none"/>
              </w:rPr>
            </w:pPr>
          </w:p>
        </w:tc>
        <w:tc>
          <w:tcPr>
            <w:tcW w:w="1181" w:type="dxa"/>
            <w:gridSpan w:val="2"/>
            <w:tcBorders>
              <w:left w:val="single" w:color="000000" w:sz="4" w:space="0"/>
              <w:right w:val="single" w:color="000000" w:sz="4" w:space="0"/>
            </w:tcBorders>
          </w:tcPr>
          <w:p>
            <w:pPr>
              <w:spacing w:line="240" w:lineRule="auto"/>
              <w:rPr>
                <w:color w:val="auto"/>
                <w:highlight w:val="none"/>
              </w:rPr>
            </w:pPr>
          </w:p>
        </w:tc>
        <w:tc>
          <w:tcPr>
            <w:tcW w:w="1265" w:type="dxa"/>
            <w:tcBorders>
              <w:left w:val="single" w:color="000000" w:sz="4" w:space="0"/>
              <w:right w:val="single" w:color="000000" w:sz="4" w:space="0"/>
            </w:tcBorders>
          </w:tcPr>
          <w:p>
            <w:pPr>
              <w:spacing w:line="240" w:lineRule="auto"/>
              <w:rPr>
                <w:color w:val="auto"/>
                <w:highlight w:val="none"/>
              </w:rPr>
            </w:pPr>
          </w:p>
        </w:tc>
        <w:tc>
          <w:tcPr>
            <w:tcW w:w="1912" w:type="dxa"/>
            <w:tcBorders>
              <w:left w:val="single" w:color="000000" w:sz="4" w:space="0"/>
            </w:tcBorders>
          </w:tcPr>
          <w:p>
            <w:pPr>
              <w:spacing w:line="240" w:lineRule="auto"/>
              <w:rPr>
                <w:color w:val="auto"/>
                <w:highlight w:val="none"/>
              </w:rPr>
            </w:pPr>
          </w:p>
        </w:tc>
        <w:tc>
          <w:tcPr>
            <w:tcW w:w="760" w:type="dxa"/>
          </w:tcPr>
          <w:p>
            <w:pPr>
              <w:spacing w:line="240" w:lineRule="auto"/>
              <w:rPr>
                <w:color w:val="auto"/>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jc w:val="center"/>
        </w:trPr>
        <w:tc>
          <w:tcPr>
            <w:tcW w:w="724" w:type="dxa"/>
          </w:tcPr>
          <w:p>
            <w:pPr>
              <w:spacing w:line="240" w:lineRule="auto"/>
              <w:rPr>
                <w:color w:val="auto"/>
                <w:highlight w:val="none"/>
              </w:rPr>
            </w:pPr>
          </w:p>
        </w:tc>
        <w:tc>
          <w:tcPr>
            <w:tcW w:w="1439" w:type="dxa"/>
            <w:gridSpan w:val="2"/>
          </w:tcPr>
          <w:p>
            <w:pPr>
              <w:spacing w:line="240" w:lineRule="auto"/>
              <w:rPr>
                <w:color w:val="auto"/>
                <w:highlight w:val="none"/>
              </w:rPr>
            </w:pPr>
          </w:p>
        </w:tc>
        <w:tc>
          <w:tcPr>
            <w:tcW w:w="1320" w:type="dxa"/>
            <w:gridSpan w:val="2"/>
          </w:tcPr>
          <w:p>
            <w:pPr>
              <w:spacing w:line="240" w:lineRule="auto"/>
              <w:rPr>
                <w:color w:val="auto"/>
                <w:highlight w:val="none"/>
              </w:rPr>
            </w:pPr>
          </w:p>
        </w:tc>
        <w:tc>
          <w:tcPr>
            <w:tcW w:w="1161" w:type="dxa"/>
          </w:tcPr>
          <w:p>
            <w:pPr>
              <w:spacing w:line="240" w:lineRule="auto"/>
              <w:rPr>
                <w:color w:val="auto"/>
                <w:highlight w:val="none"/>
              </w:rPr>
            </w:pPr>
          </w:p>
        </w:tc>
        <w:tc>
          <w:tcPr>
            <w:tcW w:w="1265" w:type="dxa"/>
          </w:tcPr>
          <w:p>
            <w:pPr>
              <w:spacing w:line="240" w:lineRule="auto"/>
              <w:rPr>
                <w:color w:val="auto"/>
                <w:highlight w:val="none"/>
              </w:rPr>
            </w:pPr>
          </w:p>
        </w:tc>
        <w:tc>
          <w:tcPr>
            <w:tcW w:w="1912" w:type="dxa"/>
          </w:tcPr>
          <w:p>
            <w:pPr>
              <w:spacing w:line="240" w:lineRule="auto"/>
              <w:rPr>
                <w:color w:val="auto"/>
                <w:highlight w:val="none"/>
              </w:rPr>
            </w:pPr>
          </w:p>
        </w:tc>
        <w:tc>
          <w:tcPr>
            <w:tcW w:w="760" w:type="dxa"/>
          </w:tcPr>
          <w:p>
            <w:pPr>
              <w:spacing w:line="240" w:lineRule="auto"/>
              <w:rPr>
                <w:color w:val="auto"/>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0" w:hRule="atLeast"/>
          <w:jc w:val="center"/>
        </w:trPr>
        <w:tc>
          <w:tcPr>
            <w:tcW w:w="724" w:type="dxa"/>
            <w:tcBorders>
              <w:right w:val="single" w:color="000000" w:sz="4" w:space="0"/>
            </w:tcBorders>
          </w:tcPr>
          <w:p>
            <w:pPr>
              <w:spacing w:line="240" w:lineRule="auto"/>
              <w:rPr>
                <w:color w:val="auto"/>
                <w:highlight w:val="none"/>
              </w:rPr>
            </w:pPr>
          </w:p>
        </w:tc>
        <w:tc>
          <w:tcPr>
            <w:tcW w:w="1419" w:type="dxa"/>
            <w:tcBorders>
              <w:left w:val="single" w:color="000000" w:sz="4" w:space="0"/>
              <w:right w:val="single" w:color="000000" w:sz="4" w:space="0"/>
            </w:tcBorders>
          </w:tcPr>
          <w:p>
            <w:pPr>
              <w:spacing w:line="240" w:lineRule="auto"/>
              <w:rPr>
                <w:color w:val="auto"/>
                <w:highlight w:val="none"/>
              </w:rPr>
            </w:pPr>
          </w:p>
        </w:tc>
        <w:tc>
          <w:tcPr>
            <w:tcW w:w="1320" w:type="dxa"/>
            <w:gridSpan w:val="2"/>
            <w:tcBorders>
              <w:left w:val="single" w:color="000000" w:sz="4" w:space="0"/>
              <w:right w:val="single" w:color="000000" w:sz="4" w:space="0"/>
            </w:tcBorders>
          </w:tcPr>
          <w:p>
            <w:pPr>
              <w:spacing w:line="240" w:lineRule="auto"/>
              <w:rPr>
                <w:color w:val="auto"/>
                <w:highlight w:val="none"/>
              </w:rPr>
            </w:pPr>
          </w:p>
        </w:tc>
        <w:tc>
          <w:tcPr>
            <w:tcW w:w="1181" w:type="dxa"/>
            <w:gridSpan w:val="2"/>
            <w:tcBorders>
              <w:left w:val="single" w:color="000000" w:sz="4" w:space="0"/>
              <w:right w:val="single" w:color="000000" w:sz="4" w:space="0"/>
            </w:tcBorders>
          </w:tcPr>
          <w:p>
            <w:pPr>
              <w:spacing w:line="240" w:lineRule="auto"/>
              <w:rPr>
                <w:color w:val="auto"/>
                <w:highlight w:val="none"/>
              </w:rPr>
            </w:pPr>
          </w:p>
        </w:tc>
        <w:tc>
          <w:tcPr>
            <w:tcW w:w="1265" w:type="dxa"/>
            <w:tcBorders>
              <w:left w:val="single" w:color="000000" w:sz="4" w:space="0"/>
            </w:tcBorders>
          </w:tcPr>
          <w:p>
            <w:pPr>
              <w:spacing w:line="240" w:lineRule="auto"/>
              <w:rPr>
                <w:color w:val="auto"/>
                <w:highlight w:val="none"/>
              </w:rPr>
            </w:pPr>
          </w:p>
        </w:tc>
        <w:tc>
          <w:tcPr>
            <w:tcW w:w="1912" w:type="dxa"/>
          </w:tcPr>
          <w:p>
            <w:pPr>
              <w:spacing w:line="240" w:lineRule="auto"/>
              <w:rPr>
                <w:color w:val="auto"/>
                <w:highlight w:val="none"/>
              </w:rPr>
            </w:pPr>
          </w:p>
        </w:tc>
        <w:tc>
          <w:tcPr>
            <w:tcW w:w="760" w:type="dxa"/>
          </w:tcPr>
          <w:p>
            <w:pPr>
              <w:spacing w:line="240" w:lineRule="auto"/>
              <w:rPr>
                <w:color w:val="auto"/>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jc w:val="center"/>
        </w:trPr>
        <w:tc>
          <w:tcPr>
            <w:tcW w:w="724" w:type="dxa"/>
            <w:tcBorders>
              <w:right w:val="single" w:color="000000" w:sz="4" w:space="0"/>
            </w:tcBorders>
          </w:tcPr>
          <w:p>
            <w:pPr>
              <w:spacing w:line="240" w:lineRule="auto"/>
              <w:rPr>
                <w:color w:val="auto"/>
                <w:highlight w:val="none"/>
              </w:rPr>
            </w:pPr>
          </w:p>
        </w:tc>
        <w:tc>
          <w:tcPr>
            <w:tcW w:w="1419" w:type="dxa"/>
            <w:tcBorders>
              <w:left w:val="single" w:color="000000" w:sz="4" w:space="0"/>
              <w:right w:val="single" w:color="000000" w:sz="4" w:space="0"/>
            </w:tcBorders>
          </w:tcPr>
          <w:p>
            <w:pPr>
              <w:spacing w:line="240" w:lineRule="auto"/>
              <w:rPr>
                <w:color w:val="auto"/>
                <w:highlight w:val="none"/>
              </w:rPr>
            </w:pPr>
          </w:p>
        </w:tc>
        <w:tc>
          <w:tcPr>
            <w:tcW w:w="1320" w:type="dxa"/>
            <w:gridSpan w:val="2"/>
            <w:tcBorders>
              <w:left w:val="single" w:color="000000" w:sz="4" w:space="0"/>
              <w:right w:val="single" w:color="000000" w:sz="4" w:space="0"/>
            </w:tcBorders>
          </w:tcPr>
          <w:p>
            <w:pPr>
              <w:spacing w:line="240" w:lineRule="auto"/>
              <w:rPr>
                <w:color w:val="auto"/>
                <w:highlight w:val="none"/>
              </w:rPr>
            </w:pPr>
          </w:p>
        </w:tc>
        <w:tc>
          <w:tcPr>
            <w:tcW w:w="1181" w:type="dxa"/>
            <w:gridSpan w:val="2"/>
            <w:tcBorders>
              <w:left w:val="single" w:color="000000" w:sz="4" w:space="0"/>
              <w:right w:val="single" w:color="000000" w:sz="4" w:space="0"/>
            </w:tcBorders>
          </w:tcPr>
          <w:p>
            <w:pPr>
              <w:spacing w:line="240" w:lineRule="auto"/>
              <w:rPr>
                <w:color w:val="auto"/>
                <w:highlight w:val="none"/>
              </w:rPr>
            </w:pPr>
          </w:p>
        </w:tc>
        <w:tc>
          <w:tcPr>
            <w:tcW w:w="1265" w:type="dxa"/>
            <w:tcBorders>
              <w:left w:val="single" w:color="000000" w:sz="4" w:space="0"/>
            </w:tcBorders>
          </w:tcPr>
          <w:p>
            <w:pPr>
              <w:spacing w:line="240" w:lineRule="auto"/>
              <w:rPr>
                <w:color w:val="auto"/>
                <w:highlight w:val="none"/>
              </w:rPr>
            </w:pPr>
          </w:p>
        </w:tc>
        <w:tc>
          <w:tcPr>
            <w:tcW w:w="1912" w:type="dxa"/>
          </w:tcPr>
          <w:p>
            <w:pPr>
              <w:spacing w:line="240" w:lineRule="auto"/>
              <w:rPr>
                <w:color w:val="auto"/>
                <w:highlight w:val="none"/>
              </w:rPr>
            </w:pPr>
          </w:p>
        </w:tc>
        <w:tc>
          <w:tcPr>
            <w:tcW w:w="760" w:type="dxa"/>
          </w:tcPr>
          <w:p>
            <w:pPr>
              <w:spacing w:line="240" w:lineRule="auto"/>
              <w:rPr>
                <w:color w:val="auto"/>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0" w:hRule="atLeast"/>
          <w:jc w:val="center"/>
        </w:trPr>
        <w:tc>
          <w:tcPr>
            <w:tcW w:w="724" w:type="dxa"/>
            <w:tcBorders>
              <w:right w:val="single" w:color="000000" w:sz="4" w:space="0"/>
            </w:tcBorders>
          </w:tcPr>
          <w:p>
            <w:pPr>
              <w:spacing w:line="240" w:lineRule="auto"/>
              <w:rPr>
                <w:color w:val="auto"/>
                <w:highlight w:val="none"/>
              </w:rPr>
            </w:pPr>
          </w:p>
        </w:tc>
        <w:tc>
          <w:tcPr>
            <w:tcW w:w="1419" w:type="dxa"/>
            <w:tcBorders>
              <w:left w:val="single" w:color="000000" w:sz="4" w:space="0"/>
              <w:right w:val="single" w:color="000000" w:sz="4" w:space="0"/>
            </w:tcBorders>
          </w:tcPr>
          <w:p>
            <w:pPr>
              <w:spacing w:line="240" w:lineRule="auto"/>
              <w:rPr>
                <w:color w:val="auto"/>
                <w:highlight w:val="none"/>
              </w:rPr>
            </w:pPr>
          </w:p>
        </w:tc>
        <w:tc>
          <w:tcPr>
            <w:tcW w:w="1320" w:type="dxa"/>
            <w:gridSpan w:val="2"/>
            <w:tcBorders>
              <w:left w:val="single" w:color="000000" w:sz="4" w:space="0"/>
              <w:right w:val="single" w:color="000000" w:sz="4" w:space="0"/>
            </w:tcBorders>
          </w:tcPr>
          <w:p>
            <w:pPr>
              <w:spacing w:line="240" w:lineRule="auto"/>
              <w:rPr>
                <w:color w:val="auto"/>
                <w:highlight w:val="none"/>
              </w:rPr>
            </w:pPr>
          </w:p>
        </w:tc>
        <w:tc>
          <w:tcPr>
            <w:tcW w:w="1181" w:type="dxa"/>
            <w:gridSpan w:val="2"/>
            <w:tcBorders>
              <w:left w:val="single" w:color="000000" w:sz="4" w:space="0"/>
              <w:right w:val="single" w:color="000000" w:sz="4" w:space="0"/>
            </w:tcBorders>
          </w:tcPr>
          <w:p>
            <w:pPr>
              <w:spacing w:line="240" w:lineRule="auto"/>
              <w:rPr>
                <w:color w:val="auto"/>
                <w:highlight w:val="none"/>
              </w:rPr>
            </w:pPr>
          </w:p>
        </w:tc>
        <w:tc>
          <w:tcPr>
            <w:tcW w:w="1265" w:type="dxa"/>
            <w:tcBorders>
              <w:left w:val="single" w:color="000000" w:sz="4" w:space="0"/>
            </w:tcBorders>
          </w:tcPr>
          <w:p>
            <w:pPr>
              <w:spacing w:line="240" w:lineRule="auto"/>
              <w:rPr>
                <w:color w:val="auto"/>
                <w:highlight w:val="none"/>
              </w:rPr>
            </w:pPr>
          </w:p>
        </w:tc>
        <w:tc>
          <w:tcPr>
            <w:tcW w:w="1912" w:type="dxa"/>
          </w:tcPr>
          <w:p>
            <w:pPr>
              <w:spacing w:line="240" w:lineRule="auto"/>
              <w:rPr>
                <w:color w:val="auto"/>
                <w:highlight w:val="none"/>
              </w:rPr>
            </w:pPr>
          </w:p>
        </w:tc>
        <w:tc>
          <w:tcPr>
            <w:tcW w:w="760" w:type="dxa"/>
          </w:tcPr>
          <w:p>
            <w:pPr>
              <w:spacing w:line="240" w:lineRule="auto"/>
              <w:rPr>
                <w:color w:val="auto"/>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7" w:hRule="atLeast"/>
          <w:jc w:val="center"/>
        </w:trPr>
        <w:tc>
          <w:tcPr>
            <w:tcW w:w="724" w:type="dxa"/>
            <w:tcBorders>
              <w:right w:val="single" w:color="000000" w:sz="4" w:space="0"/>
            </w:tcBorders>
          </w:tcPr>
          <w:p>
            <w:pPr>
              <w:spacing w:line="240" w:lineRule="auto"/>
              <w:rPr>
                <w:color w:val="auto"/>
                <w:highlight w:val="none"/>
              </w:rPr>
            </w:pPr>
          </w:p>
        </w:tc>
        <w:tc>
          <w:tcPr>
            <w:tcW w:w="1419" w:type="dxa"/>
            <w:tcBorders>
              <w:left w:val="single" w:color="000000" w:sz="4" w:space="0"/>
              <w:right w:val="single" w:color="000000" w:sz="4" w:space="0"/>
            </w:tcBorders>
          </w:tcPr>
          <w:p>
            <w:pPr>
              <w:spacing w:line="240" w:lineRule="auto"/>
              <w:rPr>
                <w:color w:val="auto"/>
                <w:highlight w:val="none"/>
              </w:rPr>
            </w:pPr>
          </w:p>
        </w:tc>
        <w:tc>
          <w:tcPr>
            <w:tcW w:w="1320" w:type="dxa"/>
            <w:gridSpan w:val="2"/>
            <w:tcBorders>
              <w:left w:val="single" w:color="000000" w:sz="4" w:space="0"/>
              <w:right w:val="single" w:color="000000" w:sz="4" w:space="0"/>
            </w:tcBorders>
          </w:tcPr>
          <w:p>
            <w:pPr>
              <w:spacing w:line="240" w:lineRule="auto"/>
              <w:rPr>
                <w:color w:val="auto"/>
                <w:highlight w:val="none"/>
              </w:rPr>
            </w:pPr>
          </w:p>
        </w:tc>
        <w:tc>
          <w:tcPr>
            <w:tcW w:w="1181" w:type="dxa"/>
            <w:gridSpan w:val="2"/>
            <w:tcBorders>
              <w:left w:val="single" w:color="000000" w:sz="4" w:space="0"/>
              <w:right w:val="single" w:color="000000" w:sz="4" w:space="0"/>
            </w:tcBorders>
          </w:tcPr>
          <w:p>
            <w:pPr>
              <w:spacing w:line="240" w:lineRule="auto"/>
              <w:rPr>
                <w:color w:val="auto"/>
                <w:highlight w:val="none"/>
              </w:rPr>
            </w:pPr>
          </w:p>
        </w:tc>
        <w:tc>
          <w:tcPr>
            <w:tcW w:w="1265" w:type="dxa"/>
            <w:tcBorders>
              <w:left w:val="single" w:color="000000" w:sz="4" w:space="0"/>
            </w:tcBorders>
          </w:tcPr>
          <w:p>
            <w:pPr>
              <w:spacing w:line="240" w:lineRule="auto"/>
              <w:rPr>
                <w:color w:val="auto"/>
                <w:highlight w:val="none"/>
              </w:rPr>
            </w:pPr>
          </w:p>
        </w:tc>
        <w:tc>
          <w:tcPr>
            <w:tcW w:w="1912" w:type="dxa"/>
          </w:tcPr>
          <w:p>
            <w:pPr>
              <w:spacing w:line="240" w:lineRule="auto"/>
              <w:rPr>
                <w:color w:val="auto"/>
                <w:highlight w:val="none"/>
              </w:rPr>
            </w:pPr>
          </w:p>
        </w:tc>
        <w:tc>
          <w:tcPr>
            <w:tcW w:w="760" w:type="dxa"/>
          </w:tcPr>
          <w:p>
            <w:pPr>
              <w:spacing w:line="240" w:lineRule="auto"/>
              <w:rPr>
                <w:color w:val="auto"/>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jc w:val="center"/>
        </w:trPr>
        <w:tc>
          <w:tcPr>
            <w:tcW w:w="724" w:type="dxa"/>
            <w:tcBorders>
              <w:right w:val="single" w:color="000000" w:sz="4" w:space="0"/>
            </w:tcBorders>
          </w:tcPr>
          <w:p>
            <w:pPr>
              <w:spacing w:line="240" w:lineRule="auto"/>
              <w:rPr>
                <w:color w:val="auto"/>
                <w:highlight w:val="none"/>
              </w:rPr>
            </w:pPr>
          </w:p>
        </w:tc>
        <w:tc>
          <w:tcPr>
            <w:tcW w:w="1419" w:type="dxa"/>
            <w:tcBorders>
              <w:left w:val="single" w:color="000000" w:sz="4" w:space="0"/>
              <w:right w:val="single" w:color="000000" w:sz="4" w:space="0"/>
            </w:tcBorders>
          </w:tcPr>
          <w:p>
            <w:pPr>
              <w:spacing w:line="240" w:lineRule="auto"/>
              <w:rPr>
                <w:color w:val="auto"/>
                <w:highlight w:val="none"/>
              </w:rPr>
            </w:pPr>
          </w:p>
        </w:tc>
        <w:tc>
          <w:tcPr>
            <w:tcW w:w="1320" w:type="dxa"/>
            <w:gridSpan w:val="2"/>
            <w:tcBorders>
              <w:left w:val="single" w:color="000000" w:sz="4" w:space="0"/>
              <w:right w:val="single" w:color="000000" w:sz="4" w:space="0"/>
            </w:tcBorders>
          </w:tcPr>
          <w:p>
            <w:pPr>
              <w:spacing w:line="240" w:lineRule="auto"/>
              <w:rPr>
                <w:color w:val="auto"/>
                <w:highlight w:val="none"/>
              </w:rPr>
            </w:pPr>
          </w:p>
        </w:tc>
        <w:tc>
          <w:tcPr>
            <w:tcW w:w="1181" w:type="dxa"/>
            <w:gridSpan w:val="2"/>
            <w:tcBorders>
              <w:left w:val="single" w:color="000000" w:sz="4" w:space="0"/>
              <w:right w:val="single" w:color="000000" w:sz="4" w:space="0"/>
            </w:tcBorders>
          </w:tcPr>
          <w:p>
            <w:pPr>
              <w:spacing w:line="240" w:lineRule="auto"/>
              <w:rPr>
                <w:color w:val="auto"/>
                <w:highlight w:val="none"/>
              </w:rPr>
            </w:pPr>
          </w:p>
        </w:tc>
        <w:tc>
          <w:tcPr>
            <w:tcW w:w="1265" w:type="dxa"/>
            <w:tcBorders>
              <w:left w:val="single" w:color="000000" w:sz="4" w:space="0"/>
            </w:tcBorders>
          </w:tcPr>
          <w:p>
            <w:pPr>
              <w:spacing w:line="240" w:lineRule="auto"/>
              <w:rPr>
                <w:color w:val="auto"/>
                <w:highlight w:val="none"/>
              </w:rPr>
            </w:pPr>
          </w:p>
        </w:tc>
        <w:tc>
          <w:tcPr>
            <w:tcW w:w="1912" w:type="dxa"/>
          </w:tcPr>
          <w:p>
            <w:pPr>
              <w:spacing w:line="240" w:lineRule="auto"/>
              <w:rPr>
                <w:color w:val="auto"/>
                <w:highlight w:val="none"/>
              </w:rPr>
            </w:pPr>
          </w:p>
        </w:tc>
        <w:tc>
          <w:tcPr>
            <w:tcW w:w="760" w:type="dxa"/>
          </w:tcPr>
          <w:p>
            <w:pPr>
              <w:spacing w:line="240" w:lineRule="auto"/>
              <w:rPr>
                <w:color w:val="auto"/>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jc w:val="center"/>
        </w:trPr>
        <w:tc>
          <w:tcPr>
            <w:tcW w:w="724" w:type="dxa"/>
            <w:tcBorders>
              <w:right w:val="single" w:color="000000" w:sz="4" w:space="0"/>
            </w:tcBorders>
          </w:tcPr>
          <w:p>
            <w:pPr>
              <w:spacing w:line="240" w:lineRule="auto"/>
              <w:rPr>
                <w:color w:val="auto"/>
                <w:highlight w:val="none"/>
              </w:rPr>
            </w:pPr>
          </w:p>
        </w:tc>
        <w:tc>
          <w:tcPr>
            <w:tcW w:w="1419" w:type="dxa"/>
            <w:tcBorders>
              <w:left w:val="single" w:color="000000" w:sz="4" w:space="0"/>
              <w:right w:val="single" w:color="000000" w:sz="4" w:space="0"/>
            </w:tcBorders>
          </w:tcPr>
          <w:p>
            <w:pPr>
              <w:spacing w:line="240" w:lineRule="auto"/>
              <w:rPr>
                <w:color w:val="auto"/>
                <w:highlight w:val="none"/>
              </w:rPr>
            </w:pPr>
          </w:p>
        </w:tc>
        <w:tc>
          <w:tcPr>
            <w:tcW w:w="1320" w:type="dxa"/>
            <w:gridSpan w:val="2"/>
            <w:tcBorders>
              <w:left w:val="single" w:color="000000" w:sz="4" w:space="0"/>
              <w:right w:val="single" w:color="000000" w:sz="4" w:space="0"/>
            </w:tcBorders>
          </w:tcPr>
          <w:p>
            <w:pPr>
              <w:spacing w:line="240" w:lineRule="auto"/>
              <w:rPr>
                <w:color w:val="auto"/>
                <w:highlight w:val="none"/>
              </w:rPr>
            </w:pPr>
          </w:p>
        </w:tc>
        <w:tc>
          <w:tcPr>
            <w:tcW w:w="1181" w:type="dxa"/>
            <w:gridSpan w:val="2"/>
            <w:tcBorders>
              <w:left w:val="single" w:color="000000" w:sz="4" w:space="0"/>
              <w:right w:val="single" w:color="000000" w:sz="4" w:space="0"/>
            </w:tcBorders>
          </w:tcPr>
          <w:p>
            <w:pPr>
              <w:spacing w:line="240" w:lineRule="auto"/>
              <w:rPr>
                <w:color w:val="auto"/>
                <w:highlight w:val="none"/>
              </w:rPr>
            </w:pPr>
          </w:p>
        </w:tc>
        <w:tc>
          <w:tcPr>
            <w:tcW w:w="1265" w:type="dxa"/>
            <w:tcBorders>
              <w:left w:val="single" w:color="000000" w:sz="4" w:space="0"/>
            </w:tcBorders>
          </w:tcPr>
          <w:p>
            <w:pPr>
              <w:spacing w:line="240" w:lineRule="auto"/>
              <w:rPr>
                <w:color w:val="auto"/>
                <w:highlight w:val="none"/>
              </w:rPr>
            </w:pPr>
          </w:p>
        </w:tc>
        <w:tc>
          <w:tcPr>
            <w:tcW w:w="1912" w:type="dxa"/>
          </w:tcPr>
          <w:p>
            <w:pPr>
              <w:spacing w:line="240" w:lineRule="auto"/>
              <w:rPr>
                <w:color w:val="auto"/>
                <w:highlight w:val="none"/>
              </w:rPr>
            </w:pPr>
          </w:p>
        </w:tc>
        <w:tc>
          <w:tcPr>
            <w:tcW w:w="760" w:type="dxa"/>
          </w:tcPr>
          <w:p>
            <w:pPr>
              <w:spacing w:line="240" w:lineRule="auto"/>
              <w:rPr>
                <w:color w:val="auto"/>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jc w:val="center"/>
        </w:trPr>
        <w:tc>
          <w:tcPr>
            <w:tcW w:w="724" w:type="dxa"/>
            <w:tcBorders>
              <w:right w:val="single" w:color="000000" w:sz="4" w:space="0"/>
            </w:tcBorders>
          </w:tcPr>
          <w:p>
            <w:pPr>
              <w:spacing w:line="240" w:lineRule="auto"/>
              <w:rPr>
                <w:color w:val="auto"/>
                <w:highlight w:val="none"/>
              </w:rPr>
            </w:pPr>
          </w:p>
        </w:tc>
        <w:tc>
          <w:tcPr>
            <w:tcW w:w="1419" w:type="dxa"/>
            <w:tcBorders>
              <w:left w:val="single" w:color="000000" w:sz="4" w:space="0"/>
              <w:right w:val="single" w:color="000000" w:sz="4" w:space="0"/>
            </w:tcBorders>
          </w:tcPr>
          <w:p>
            <w:pPr>
              <w:spacing w:line="240" w:lineRule="auto"/>
              <w:rPr>
                <w:color w:val="auto"/>
                <w:highlight w:val="none"/>
              </w:rPr>
            </w:pPr>
          </w:p>
        </w:tc>
        <w:tc>
          <w:tcPr>
            <w:tcW w:w="1320" w:type="dxa"/>
            <w:gridSpan w:val="2"/>
            <w:tcBorders>
              <w:left w:val="single" w:color="000000" w:sz="4" w:space="0"/>
              <w:right w:val="single" w:color="000000" w:sz="4" w:space="0"/>
            </w:tcBorders>
          </w:tcPr>
          <w:p>
            <w:pPr>
              <w:spacing w:line="240" w:lineRule="auto"/>
              <w:rPr>
                <w:color w:val="auto"/>
                <w:highlight w:val="none"/>
              </w:rPr>
            </w:pPr>
          </w:p>
        </w:tc>
        <w:tc>
          <w:tcPr>
            <w:tcW w:w="1181" w:type="dxa"/>
            <w:gridSpan w:val="2"/>
            <w:tcBorders>
              <w:left w:val="single" w:color="000000" w:sz="4" w:space="0"/>
              <w:right w:val="single" w:color="000000" w:sz="4" w:space="0"/>
            </w:tcBorders>
          </w:tcPr>
          <w:p>
            <w:pPr>
              <w:spacing w:line="240" w:lineRule="auto"/>
              <w:rPr>
                <w:color w:val="auto"/>
                <w:highlight w:val="none"/>
              </w:rPr>
            </w:pPr>
          </w:p>
        </w:tc>
        <w:tc>
          <w:tcPr>
            <w:tcW w:w="1265" w:type="dxa"/>
            <w:tcBorders>
              <w:left w:val="single" w:color="000000" w:sz="4" w:space="0"/>
            </w:tcBorders>
          </w:tcPr>
          <w:p>
            <w:pPr>
              <w:spacing w:line="240" w:lineRule="auto"/>
              <w:rPr>
                <w:color w:val="auto"/>
                <w:highlight w:val="none"/>
              </w:rPr>
            </w:pPr>
          </w:p>
        </w:tc>
        <w:tc>
          <w:tcPr>
            <w:tcW w:w="1912" w:type="dxa"/>
          </w:tcPr>
          <w:p>
            <w:pPr>
              <w:spacing w:line="240" w:lineRule="auto"/>
              <w:rPr>
                <w:color w:val="auto"/>
                <w:highlight w:val="none"/>
              </w:rPr>
            </w:pPr>
          </w:p>
        </w:tc>
        <w:tc>
          <w:tcPr>
            <w:tcW w:w="760" w:type="dxa"/>
          </w:tcPr>
          <w:p>
            <w:pPr>
              <w:spacing w:line="240" w:lineRule="auto"/>
              <w:rPr>
                <w:color w:val="auto"/>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jc w:val="center"/>
        </w:trPr>
        <w:tc>
          <w:tcPr>
            <w:tcW w:w="724" w:type="dxa"/>
            <w:tcBorders>
              <w:right w:val="single" w:color="000000" w:sz="4" w:space="0"/>
            </w:tcBorders>
          </w:tcPr>
          <w:p>
            <w:pPr>
              <w:spacing w:line="240" w:lineRule="auto"/>
              <w:rPr>
                <w:color w:val="auto"/>
                <w:highlight w:val="none"/>
              </w:rPr>
            </w:pPr>
          </w:p>
        </w:tc>
        <w:tc>
          <w:tcPr>
            <w:tcW w:w="1419" w:type="dxa"/>
            <w:tcBorders>
              <w:left w:val="single" w:color="000000" w:sz="4" w:space="0"/>
              <w:right w:val="single" w:color="000000" w:sz="4" w:space="0"/>
            </w:tcBorders>
          </w:tcPr>
          <w:p>
            <w:pPr>
              <w:spacing w:line="240" w:lineRule="auto"/>
              <w:rPr>
                <w:color w:val="auto"/>
                <w:highlight w:val="none"/>
              </w:rPr>
            </w:pPr>
          </w:p>
        </w:tc>
        <w:tc>
          <w:tcPr>
            <w:tcW w:w="1320" w:type="dxa"/>
            <w:gridSpan w:val="2"/>
            <w:tcBorders>
              <w:left w:val="single" w:color="000000" w:sz="4" w:space="0"/>
              <w:right w:val="single" w:color="000000" w:sz="4" w:space="0"/>
            </w:tcBorders>
          </w:tcPr>
          <w:p>
            <w:pPr>
              <w:spacing w:line="240" w:lineRule="auto"/>
              <w:rPr>
                <w:color w:val="auto"/>
                <w:highlight w:val="none"/>
              </w:rPr>
            </w:pPr>
          </w:p>
        </w:tc>
        <w:tc>
          <w:tcPr>
            <w:tcW w:w="1181" w:type="dxa"/>
            <w:gridSpan w:val="2"/>
            <w:tcBorders>
              <w:left w:val="single" w:color="000000" w:sz="4" w:space="0"/>
              <w:right w:val="single" w:color="000000" w:sz="4" w:space="0"/>
            </w:tcBorders>
          </w:tcPr>
          <w:p>
            <w:pPr>
              <w:spacing w:line="240" w:lineRule="auto"/>
              <w:rPr>
                <w:color w:val="auto"/>
                <w:highlight w:val="none"/>
              </w:rPr>
            </w:pPr>
          </w:p>
        </w:tc>
        <w:tc>
          <w:tcPr>
            <w:tcW w:w="1265" w:type="dxa"/>
            <w:tcBorders>
              <w:left w:val="single" w:color="000000" w:sz="4" w:space="0"/>
            </w:tcBorders>
          </w:tcPr>
          <w:p>
            <w:pPr>
              <w:spacing w:line="240" w:lineRule="auto"/>
              <w:rPr>
                <w:color w:val="auto"/>
                <w:highlight w:val="none"/>
              </w:rPr>
            </w:pPr>
          </w:p>
        </w:tc>
        <w:tc>
          <w:tcPr>
            <w:tcW w:w="1912" w:type="dxa"/>
          </w:tcPr>
          <w:p>
            <w:pPr>
              <w:spacing w:line="240" w:lineRule="auto"/>
              <w:rPr>
                <w:color w:val="auto"/>
                <w:highlight w:val="none"/>
              </w:rPr>
            </w:pPr>
          </w:p>
        </w:tc>
        <w:tc>
          <w:tcPr>
            <w:tcW w:w="760" w:type="dxa"/>
          </w:tcPr>
          <w:p>
            <w:pPr>
              <w:spacing w:line="240" w:lineRule="auto"/>
              <w:rPr>
                <w:color w:val="auto"/>
                <w:highlight w:val="none"/>
              </w:rPr>
            </w:pPr>
          </w:p>
        </w:tc>
      </w:tr>
    </w:tbl>
    <w:p>
      <w:pPr>
        <w:spacing w:line="240" w:lineRule="auto"/>
        <w:rPr>
          <w:color w:val="auto"/>
          <w:highlight w:val="none"/>
        </w:rPr>
      </w:pPr>
    </w:p>
    <w:p>
      <w:pPr>
        <w:spacing w:before="75" w:line="240" w:lineRule="auto"/>
        <w:ind w:left="493"/>
        <w:rPr>
          <w:rFonts w:ascii="宋体" w:hAnsi="宋体" w:eastAsia="宋体" w:cs="宋体"/>
          <w:b/>
          <w:bCs/>
          <w:color w:val="auto"/>
          <w:spacing w:val="9"/>
          <w:sz w:val="24"/>
          <w:szCs w:val="24"/>
          <w:highlight w:val="none"/>
        </w:rPr>
      </w:pPr>
      <w:r>
        <w:rPr>
          <w:rFonts w:hint="eastAsia" w:ascii="宋体" w:hAnsi="宋体" w:eastAsia="宋体" w:cs="宋体"/>
          <w:b/>
          <w:bCs/>
          <w:color w:val="auto"/>
          <w:spacing w:val="9"/>
          <w:sz w:val="24"/>
          <w:szCs w:val="24"/>
          <w:highlight w:val="none"/>
        </w:rPr>
        <w:t>注：以上业绩需提供有关书面证明材料。</w:t>
      </w:r>
    </w:p>
    <w:p>
      <w:pPr>
        <w:spacing w:line="240" w:lineRule="auto"/>
        <w:rPr>
          <w:color w:val="auto"/>
          <w:sz w:val="24"/>
          <w:szCs w:val="24"/>
          <w:highlight w:val="none"/>
        </w:rPr>
      </w:pPr>
    </w:p>
    <w:p>
      <w:pPr>
        <w:spacing w:line="240" w:lineRule="auto"/>
        <w:rPr>
          <w:color w:val="auto"/>
          <w:sz w:val="24"/>
          <w:szCs w:val="24"/>
          <w:highlight w:val="none"/>
        </w:rPr>
      </w:pPr>
    </w:p>
    <w:p>
      <w:pPr>
        <w:spacing w:before="76" w:line="240" w:lineRule="auto"/>
        <w:ind w:left="494" w:right="589" w:firstLine="1"/>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投标人名称：</w:t>
      </w:r>
      <w:r>
        <w:rPr>
          <w:rFonts w:ascii="宋体" w:hAnsi="宋体" w:eastAsia="宋体" w:cs="宋体"/>
          <w:color w:val="auto"/>
          <w:spacing w:val="-1"/>
          <w:sz w:val="24"/>
          <w:szCs w:val="24"/>
          <w:highlight w:val="none"/>
          <w:u w:val="single"/>
        </w:rPr>
        <w:t xml:space="preserve">        </w:t>
      </w:r>
      <w:r>
        <w:rPr>
          <w:rFonts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(盖单位公章)</w:t>
      </w:r>
      <w:r>
        <w:rPr>
          <w:rFonts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rPr>
        <w:t xml:space="preserve"> </w:t>
      </w:r>
    </w:p>
    <w:p>
      <w:pPr>
        <w:spacing w:before="77" w:line="240" w:lineRule="auto"/>
        <w:ind w:left="494"/>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法定代表人/单位负责人或授权代表(签字或加盖个人名章) ：</w:t>
      </w:r>
      <w:r>
        <w:rPr>
          <w:rFonts w:ascii="宋体" w:hAnsi="宋体" w:eastAsia="宋体" w:cs="宋体"/>
          <w:color w:val="auto"/>
          <w:sz w:val="24"/>
          <w:szCs w:val="24"/>
          <w:highlight w:val="none"/>
          <w:u w:val="single"/>
        </w:rPr>
        <w:t xml:space="preserve">        </w:t>
      </w:r>
    </w:p>
    <w:p>
      <w:pPr>
        <w:spacing w:before="78" w:line="240" w:lineRule="auto"/>
        <w:ind w:left="535"/>
        <w:rPr>
          <w:rFonts w:ascii="宋体" w:hAnsi="宋体" w:eastAsia="宋体" w:cs="宋体"/>
          <w:color w:val="auto"/>
          <w:sz w:val="23"/>
          <w:szCs w:val="23"/>
          <w:highlight w:val="none"/>
        </w:rPr>
      </w:pPr>
      <w:r>
        <w:rPr>
          <w:rFonts w:hint="eastAsia" w:ascii="宋体" w:hAnsi="宋体" w:eastAsia="宋体" w:cs="宋体"/>
          <w:color w:val="auto"/>
          <w:sz w:val="24"/>
          <w:szCs w:val="24"/>
          <w:highlight w:val="none"/>
        </w:rPr>
        <w:t>日    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pPr>
        <w:spacing w:line="240" w:lineRule="auto"/>
        <w:rPr>
          <w:color w:val="auto"/>
          <w:highlight w:val="none"/>
        </w:rPr>
        <w:sectPr>
          <w:headerReference r:id="rId29" w:type="default"/>
          <w:footerReference r:id="rId30" w:type="default"/>
          <w:type w:val="continuous"/>
          <w:pgSz w:w="11905" w:h="16838"/>
          <w:pgMar w:top="1417" w:right="1417" w:bottom="1417" w:left="1417" w:header="0" w:footer="1134" w:gutter="0"/>
          <w:cols w:space="0" w:num="1"/>
        </w:sectPr>
      </w:pPr>
    </w:p>
    <w:p>
      <w:pPr>
        <w:spacing w:before="3" w:line="240" w:lineRule="auto"/>
        <w:ind w:right="13"/>
        <w:jc w:val="center"/>
        <w:outlineLvl w:val="9"/>
        <w:rPr>
          <w:rFonts w:ascii="宋体" w:hAnsi="宋体" w:eastAsia="宋体" w:cs="宋体"/>
          <w:b/>
          <w:bCs/>
          <w:color w:val="auto"/>
          <w:sz w:val="32"/>
          <w:szCs w:val="32"/>
          <w:highlight w:val="none"/>
        </w:rPr>
      </w:pPr>
      <w:bookmarkStart w:id="144" w:name="_Toc18877"/>
      <w:bookmarkStart w:id="145" w:name="_Toc5419"/>
      <w:r>
        <w:rPr>
          <w:rFonts w:hint="eastAsia" w:ascii="宋体" w:hAnsi="宋体" w:eastAsia="宋体" w:cs="宋体"/>
          <w:b/>
          <w:bCs/>
          <w:color w:val="auto"/>
          <w:sz w:val="32"/>
          <w:szCs w:val="32"/>
          <w:highlight w:val="none"/>
          <w:lang w:eastAsia="zh-CN"/>
        </w:rPr>
        <w:t>七</w:t>
      </w:r>
      <w:r>
        <w:rPr>
          <w:rFonts w:hint="eastAsia" w:ascii="宋体" w:hAnsi="宋体" w:eastAsia="宋体" w:cs="宋体"/>
          <w:b/>
          <w:bCs/>
          <w:color w:val="auto"/>
          <w:sz w:val="32"/>
          <w:szCs w:val="32"/>
          <w:highlight w:val="none"/>
        </w:rPr>
        <w:t>、技术</w:t>
      </w:r>
      <w:r>
        <w:rPr>
          <w:rFonts w:hint="eastAsia" w:ascii="宋体" w:hAnsi="宋体" w:eastAsia="宋体" w:cs="宋体"/>
          <w:b/>
          <w:bCs/>
          <w:color w:val="auto"/>
          <w:sz w:val="32"/>
          <w:szCs w:val="32"/>
          <w:highlight w:val="none"/>
          <w:lang w:val="en-US" w:eastAsia="zh-CN"/>
        </w:rPr>
        <w:t>服务</w:t>
      </w:r>
      <w:r>
        <w:rPr>
          <w:rFonts w:hint="eastAsia" w:ascii="宋体" w:hAnsi="宋体" w:eastAsia="宋体" w:cs="宋体"/>
          <w:b/>
          <w:bCs/>
          <w:color w:val="auto"/>
          <w:sz w:val="32"/>
          <w:szCs w:val="32"/>
          <w:highlight w:val="none"/>
        </w:rPr>
        <w:t>应答表</w:t>
      </w:r>
      <w:bookmarkEnd w:id="144"/>
      <w:bookmarkEnd w:id="145"/>
    </w:p>
    <w:p>
      <w:pPr>
        <w:spacing w:line="240" w:lineRule="auto"/>
        <w:rPr>
          <w:color w:val="auto"/>
          <w:highlight w:val="none"/>
        </w:rPr>
      </w:pPr>
    </w:p>
    <w:tbl>
      <w:tblPr>
        <w:tblStyle w:val="23"/>
        <w:tblpPr w:leftFromText="180" w:rightFromText="180" w:vertAnchor="text" w:horzAnchor="page" w:tblpX="1411" w:tblpY="258"/>
        <w:tblOverlap w:val="never"/>
        <w:tblW w:w="8617"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30"/>
        <w:gridCol w:w="2049"/>
        <w:gridCol w:w="2859"/>
        <w:gridCol w:w="297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trPr>
        <w:tc>
          <w:tcPr>
            <w:tcW w:w="730" w:type="dxa"/>
          </w:tcPr>
          <w:p>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序号</w:t>
            </w:r>
          </w:p>
        </w:tc>
        <w:tc>
          <w:tcPr>
            <w:tcW w:w="2049" w:type="dxa"/>
          </w:tcPr>
          <w:p>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招标文件要求</w:t>
            </w:r>
          </w:p>
        </w:tc>
        <w:tc>
          <w:tcPr>
            <w:tcW w:w="2859" w:type="dxa"/>
          </w:tcPr>
          <w:p>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投标文件要求</w:t>
            </w:r>
          </w:p>
        </w:tc>
        <w:tc>
          <w:tcPr>
            <w:tcW w:w="2979" w:type="dxa"/>
          </w:tcPr>
          <w:p>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偏离及其影响</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730" w:type="dxa"/>
          </w:tcPr>
          <w:p>
            <w:pPr>
              <w:spacing w:line="240" w:lineRule="auto"/>
              <w:rPr>
                <w:color w:val="auto"/>
                <w:sz w:val="24"/>
                <w:szCs w:val="24"/>
                <w:highlight w:val="none"/>
              </w:rPr>
            </w:pPr>
          </w:p>
        </w:tc>
        <w:tc>
          <w:tcPr>
            <w:tcW w:w="2049" w:type="dxa"/>
          </w:tcPr>
          <w:p>
            <w:pPr>
              <w:spacing w:line="240" w:lineRule="auto"/>
              <w:rPr>
                <w:color w:val="auto"/>
                <w:sz w:val="24"/>
                <w:szCs w:val="24"/>
                <w:highlight w:val="none"/>
              </w:rPr>
            </w:pPr>
          </w:p>
        </w:tc>
        <w:tc>
          <w:tcPr>
            <w:tcW w:w="2859" w:type="dxa"/>
          </w:tcPr>
          <w:p>
            <w:pPr>
              <w:spacing w:line="240" w:lineRule="auto"/>
              <w:rPr>
                <w:color w:val="auto"/>
                <w:sz w:val="24"/>
                <w:szCs w:val="24"/>
                <w:highlight w:val="none"/>
              </w:rPr>
            </w:pPr>
          </w:p>
        </w:tc>
        <w:tc>
          <w:tcPr>
            <w:tcW w:w="2979" w:type="dxa"/>
          </w:tcPr>
          <w:p>
            <w:pPr>
              <w:spacing w:line="240" w:lineRule="auto"/>
              <w:rPr>
                <w:color w:val="auto"/>
                <w:sz w:val="24"/>
                <w:szCs w:val="24"/>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730" w:type="dxa"/>
          </w:tcPr>
          <w:p>
            <w:pPr>
              <w:spacing w:line="240" w:lineRule="auto"/>
              <w:rPr>
                <w:color w:val="auto"/>
                <w:sz w:val="24"/>
                <w:szCs w:val="24"/>
                <w:highlight w:val="none"/>
              </w:rPr>
            </w:pPr>
          </w:p>
        </w:tc>
        <w:tc>
          <w:tcPr>
            <w:tcW w:w="2049" w:type="dxa"/>
          </w:tcPr>
          <w:p>
            <w:pPr>
              <w:spacing w:line="240" w:lineRule="auto"/>
              <w:rPr>
                <w:color w:val="auto"/>
                <w:sz w:val="24"/>
                <w:szCs w:val="24"/>
                <w:highlight w:val="none"/>
              </w:rPr>
            </w:pPr>
          </w:p>
        </w:tc>
        <w:tc>
          <w:tcPr>
            <w:tcW w:w="2859" w:type="dxa"/>
          </w:tcPr>
          <w:p>
            <w:pPr>
              <w:spacing w:line="240" w:lineRule="auto"/>
              <w:rPr>
                <w:color w:val="auto"/>
                <w:sz w:val="24"/>
                <w:szCs w:val="24"/>
                <w:highlight w:val="none"/>
              </w:rPr>
            </w:pPr>
          </w:p>
        </w:tc>
        <w:tc>
          <w:tcPr>
            <w:tcW w:w="2979" w:type="dxa"/>
          </w:tcPr>
          <w:p>
            <w:pPr>
              <w:spacing w:line="240" w:lineRule="auto"/>
              <w:rPr>
                <w:color w:val="auto"/>
                <w:sz w:val="24"/>
                <w:szCs w:val="24"/>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730" w:type="dxa"/>
          </w:tcPr>
          <w:p>
            <w:pPr>
              <w:spacing w:line="240" w:lineRule="auto"/>
              <w:rPr>
                <w:color w:val="auto"/>
                <w:sz w:val="24"/>
                <w:szCs w:val="24"/>
                <w:highlight w:val="none"/>
              </w:rPr>
            </w:pPr>
          </w:p>
        </w:tc>
        <w:tc>
          <w:tcPr>
            <w:tcW w:w="2049" w:type="dxa"/>
          </w:tcPr>
          <w:p>
            <w:pPr>
              <w:spacing w:line="240" w:lineRule="auto"/>
              <w:rPr>
                <w:color w:val="auto"/>
                <w:sz w:val="24"/>
                <w:szCs w:val="24"/>
                <w:highlight w:val="none"/>
              </w:rPr>
            </w:pPr>
          </w:p>
        </w:tc>
        <w:tc>
          <w:tcPr>
            <w:tcW w:w="2859" w:type="dxa"/>
          </w:tcPr>
          <w:p>
            <w:pPr>
              <w:spacing w:line="240" w:lineRule="auto"/>
              <w:rPr>
                <w:color w:val="auto"/>
                <w:sz w:val="24"/>
                <w:szCs w:val="24"/>
                <w:highlight w:val="none"/>
              </w:rPr>
            </w:pPr>
          </w:p>
        </w:tc>
        <w:tc>
          <w:tcPr>
            <w:tcW w:w="2979" w:type="dxa"/>
          </w:tcPr>
          <w:p>
            <w:pPr>
              <w:spacing w:line="240" w:lineRule="auto"/>
              <w:rPr>
                <w:color w:val="auto"/>
                <w:sz w:val="24"/>
                <w:szCs w:val="24"/>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730" w:type="dxa"/>
          </w:tcPr>
          <w:p>
            <w:pPr>
              <w:spacing w:line="240" w:lineRule="auto"/>
              <w:rPr>
                <w:color w:val="auto"/>
                <w:sz w:val="24"/>
                <w:szCs w:val="24"/>
                <w:highlight w:val="none"/>
              </w:rPr>
            </w:pPr>
          </w:p>
        </w:tc>
        <w:tc>
          <w:tcPr>
            <w:tcW w:w="2049" w:type="dxa"/>
          </w:tcPr>
          <w:p>
            <w:pPr>
              <w:spacing w:line="240" w:lineRule="auto"/>
              <w:rPr>
                <w:color w:val="auto"/>
                <w:sz w:val="24"/>
                <w:szCs w:val="24"/>
                <w:highlight w:val="none"/>
              </w:rPr>
            </w:pPr>
          </w:p>
        </w:tc>
        <w:tc>
          <w:tcPr>
            <w:tcW w:w="2859" w:type="dxa"/>
          </w:tcPr>
          <w:p>
            <w:pPr>
              <w:spacing w:line="240" w:lineRule="auto"/>
              <w:rPr>
                <w:color w:val="auto"/>
                <w:sz w:val="24"/>
                <w:szCs w:val="24"/>
                <w:highlight w:val="none"/>
              </w:rPr>
            </w:pPr>
          </w:p>
        </w:tc>
        <w:tc>
          <w:tcPr>
            <w:tcW w:w="2979" w:type="dxa"/>
          </w:tcPr>
          <w:p>
            <w:pPr>
              <w:spacing w:line="240" w:lineRule="auto"/>
              <w:rPr>
                <w:color w:val="auto"/>
                <w:sz w:val="24"/>
                <w:szCs w:val="24"/>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trPr>
        <w:tc>
          <w:tcPr>
            <w:tcW w:w="730" w:type="dxa"/>
          </w:tcPr>
          <w:p>
            <w:pPr>
              <w:spacing w:line="240" w:lineRule="auto"/>
              <w:rPr>
                <w:color w:val="auto"/>
                <w:sz w:val="24"/>
                <w:szCs w:val="24"/>
                <w:highlight w:val="none"/>
              </w:rPr>
            </w:pPr>
          </w:p>
        </w:tc>
        <w:tc>
          <w:tcPr>
            <w:tcW w:w="2049" w:type="dxa"/>
          </w:tcPr>
          <w:p>
            <w:pPr>
              <w:spacing w:line="240" w:lineRule="auto"/>
              <w:rPr>
                <w:color w:val="auto"/>
                <w:sz w:val="24"/>
                <w:szCs w:val="24"/>
                <w:highlight w:val="none"/>
              </w:rPr>
            </w:pPr>
          </w:p>
        </w:tc>
        <w:tc>
          <w:tcPr>
            <w:tcW w:w="2859" w:type="dxa"/>
          </w:tcPr>
          <w:p>
            <w:pPr>
              <w:spacing w:line="240" w:lineRule="auto"/>
              <w:rPr>
                <w:color w:val="auto"/>
                <w:sz w:val="24"/>
                <w:szCs w:val="24"/>
                <w:highlight w:val="none"/>
              </w:rPr>
            </w:pPr>
          </w:p>
        </w:tc>
        <w:tc>
          <w:tcPr>
            <w:tcW w:w="2979" w:type="dxa"/>
          </w:tcPr>
          <w:p>
            <w:pPr>
              <w:spacing w:line="240" w:lineRule="auto"/>
              <w:rPr>
                <w:color w:val="auto"/>
                <w:sz w:val="24"/>
                <w:szCs w:val="24"/>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trPr>
        <w:tc>
          <w:tcPr>
            <w:tcW w:w="730" w:type="dxa"/>
          </w:tcPr>
          <w:p>
            <w:pPr>
              <w:spacing w:line="240" w:lineRule="auto"/>
              <w:rPr>
                <w:color w:val="auto"/>
                <w:sz w:val="24"/>
                <w:szCs w:val="24"/>
                <w:highlight w:val="none"/>
              </w:rPr>
            </w:pPr>
          </w:p>
        </w:tc>
        <w:tc>
          <w:tcPr>
            <w:tcW w:w="2049" w:type="dxa"/>
          </w:tcPr>
          <w:p>
            <w:pPr>
              <w:spacing w:line="240" w:lineRule="auto"/>
              <w:rPr>
                <w:color w:val="auto"/>
                <w:sz w:val="24"/>
                <w:szCs w:val="24"/>
                <w:highlight w:val="none"/>
              </w:rPr>
            </w:pPr>
          </w:p>
        </w:tc>
        <w:tc>
          <w:tcPr>
            <w:tcW w:w="2859" w:type="dxa"/>
          </w:tcPr>
          <w:p>
            <w:pPr>
              <w:spacing w:line="240" w:lineRule="auto"/>
              <w:rPr>
                <w:color w:val="auto"/>
                <w:sz w:val="24"/>
                <w:szCs w:val="24"/>
                <w:highlight w:val="none"/>
              </w:rPr>
            </w:pPr>
          </w:p>
        </w:tc>
        <w:tc>
          <w:tcPr>
            <w:tcW w:w="2979" w:type="dxa"/>
          </w:tcPr>
          <w:p>
            <w:pPr>
              <w:spacing w:line="240" w:lineRule="auto"/>
              <w:rPr>
                <w:color w:val="auto"/>
                <w:sz w:val="24"/>
                <w:szCs w:val="24"/>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trPr>
        <w:tc>
          <w:tcPr>
            <w:tcW w:w="730" w:type="dxa"/>
          </w:tcPr>
          <w:p>
            <w:pPr>
              <w:spacing w:line="240" w:lineRule="auto"/>
              <w:rPr>
                <w:color w:val="auto"/>
                <w:sz w:val="24"/>
                <w:szCs w:val="24"/>
                <w:highlight w:val="none"/>
              </w:rPr>
            </w:pPr>
          </w:p>
        </w:tc>
        <w:tc>
          <w:tcPr>
            <w:tcW w:w="2049" w:type="dxa"/>
          </w:tcPr>
          <w:p>
            <w:pPr>
              <w:spacing w:line="240" w:lineRule="auto"/>
              <w:rPr>
                <w:color w:val="auto"/>
                <w:sz w:val="24"/>
                <w:szCs w:val="24"/>
                <w:highlight w:val="none"/>
              </w:rPr>
            </w:pPr>
          </w:p>
        </w:tc>
        <w:tc>
          <w:tcPr>
            <w:tcW w:w="2859" w:type="dxa"/>
          </w:tcPr>
          <w:p>
            <w:pPr>
              <w:spacing w:line="240" w:lineRule="auto"/>
              <w:rPr>
                <w:color w:val="auto"/>
                <w:sz w:val="24"/>
                <w:szCs w:val="24"/>
                <w:highlight w:val="none"/>
              </w:rPr>
            </w:pPr>
          </w:p>
        </w:tc>
        <w:tc>
          <w:tcPr>
            <w:tcW w:w="2979" w:type="dxa"/>
          </w:tcPr>
          <w:p>
            <w:pPr>
              <w:spacing w:line="240" w:lineRule="auto"/>
              <w:rPr>
                <w:color w:val="auto"/>
                <w:sz w:val="24"/>
                <w:szCs w:val="24"/>
                <w:highlight w:val="none"/>
              </w:rPr>
            </w:pPr>
          </w:p>
        </w:tc>
      </w:tr>
    </w:tbl>
    <w:p>
      <w:pPr>
        <w:spacing w:before="75" w:line="240" w:lineRule="auto"/>
        <w:ind w:left="642"/>
        <w:rPr>
          <w:rFonts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项目名称：</w:t>
      </w:r>
      <w:r>
        <w:rPr>
          <w:rFonts w:ascii="宋体" w:hAnsi="宋体" w:eastAsia="宋体" w:cs="宋体"/>
          <w:color w:val="auto"/>
          <w:spacing w:val="-3"/>
          <w:sz w:val="24"/>
          <w:szCs w:val="24"/>
          <w:highlight w:val="none"/>
          <w:u w:val="single"/>
        </w:rPr>
        <w:t xml:space="preserve">                </w:t>
      </w:r>
      <w:r>
        <w:rPr>
          <w:rFonts w:hint="eastAsia" w:ascii="宋体" w:hAnsi="宋体" w:eastAsia="宋体" w:cs="宋体"/>
          <w:color w:val="auto"/>
          <w:spacing w:val="6"/>
          <w:sz w:val="24"/>
          <w:szCs w:val="24"/>
          <w:highlight w:val="none"/>
        </w:rPr>
        <w:t>招标编号：</w:t>
      </w:r>
      <w:r>
        <w:rPr>
          <w:rFonts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pPr>
        <w:spacing w:line="240" w:lineRule="auto"/>
        <w:ind w:right="13"/>
        <w:rPr>
          <w:rFonts w:ascii="宋体" w:hAnsi="宋体" w:eastAsia="宋体" w:cs="宋体"/>
          <w:b/>
          <w:bCs/>
          <w:color w:val="auto"/>
          <w:spacing w:val="6"/>
          <w:sz w:val="24"/>
          <w:szCs w:val="24"/>
          <w:highlight w:val="none"/>
        </w:rPr>
      </w:pPr>
      <w:r>
        <w:rPr>
          <w:rFonts w:hint="eastAsia" w:ascii="宋体" w:hAnsi="宋体" w:eastAsia="宋体" w:cs="宋体"/>
          <w:b/>
          <w:bCs/>
          <w:color w:val="auto"/>
          <w:spacing w:val="6"/>
          <w:sz w:val="24"/>
          <w:szCs w:val="24"/>
          <w:highlight w:val="none"/>
        </w:rPr>
        <w:t>注：供应商的投标应答如和第六章除商务要求以外的部分没有偏离可以不予填写（视为完全响应），如有任何正负偏离请于明确此表格。</w:t>
      </w:r>
    </w:p>
    <w:p>
      <w:pPr>
        <w:spacing w:line="240" w:lineRule="auto"/>
        <w:rPr>
          <w:color w:val="auto"/>
          <w:sz w:val="24"/>
          <w:szCs w:val="24"/>
          <w:highlight w:val="none"/>
        </w:rPr>
      </w:pPr>
    </w:p>
    <w:p>
      <w:pPr>
        <w:spacing w:before="76" w:line="240" w:lineRule="auto"/>
        <w:ind w:left="494" w:right="589" w:firstLine="1"/>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投标人名称：</w:t>
      </w:r>
      <w:r>
        <w:rPr>
          <w:rFonts w:ascii="宋体" w:hAnsi="宋体" w:eastAsia="宋体" w:cs="宋体"/>
          <w:color w:val="auto"/>
          <w:spacing w:val="-1"/>
          <w:sz w:val="24"/>
          <w:szCs w:val="24"/>
          <w:highlight w:val="none"/>
          <w:u w:val="single"/>
        </w:rPr>
        <w:t xml:space="preserve">        </w:t>
      </w:r>
      <w:r>
        <w:rPr>
          <w:rFonts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(盖单位公章)</w:t>
      </w:r>
      <w:r>
        <w:rPr>
          <w:rFonts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rPr>
        <w:t xml:space="preserve"> </w:t>
      </w:r>
    </w:p>
    <w:p>
      <w:pPr>
        <w:spacing w:before="77" w:line="240" w:lineRule="auto"/>
        <w:ind w:left="494"/>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法定代表人/单位负责人或授权代表(签字或加盖个人名章) ：</w:t>
      </w:r>
      <w:r>
        <w:rPr>
          <w:rFonts w:ascii="宋体" w:hAnsi="宋体" w:eastAsia="宋体" w:cs="宋体"/>
          <w:color w:val="auto"/>
          <w:sz w:val="24"/>
          <w:szCs w:val="24"/>
          <w:highlight w:val="none"/>
          <w:u w:val="single"/>
        </w:rPr>
        <w:t xml:space="preserve">        </w:t>
      </w:r>
    </w:p>
    <w:p>
      <w:pPr>
        <w:spacing w:before="78" w:line="240" w:lineRule="auto"/>
        <w:ind w:left="535"/>
        <w:rPr>
          <w:rFonts w:ascii="宋体" w:hAnsi="宋体" w:eastAsia="宋体" w:cs="宋体"/>
          <w:color w:val="auto"/>
          <w:sz w:val="23"/>
          <w:szCs w:val="23"/>
          <w:highlight w:val="none"/>
        </w:rPr>
      </w:pPr>
      <w:r>
        <w:rPr>
          <w:rFonts w:hint="eastAsia" w:ascii="宋体" w:hAnsi="宋体" w:eastAsia="宋体" w:cs="宋体"/>
          <w:color w:val="auto"/>
          <w:sz w:val="24"/>
          <w:szCs w:val="24"/>
          <w:highlight w:val="none"/>
        </w:rPr>
        <w:t>日    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pPr>
        <w:spacing w:line="240" w:lineRule="auto"/>
        <w:rPr>
          <w:color w:val="auto"/>
          <w:highlight w:val="none"/>
        </w:rPr>
        <w:sectPr>
          <w:headerReference r:id="rId31" w:type="default"/>
          <w:footerReference r:id="rId32" w:type="default"/>
          <w:pgSz w:w="11905" w:h="16838"/>
          <w:pgMar w:top="1417" w:right="1417" w:bottom="1417" w:left="1417" w:header="0" w:footer="1134" w:gutter="0"/>
          <w:cols w:space="0" w:num="1"/>
        </w:sectPr>
      </w:pPr>
    </w:p>
    <w:p>
      <w:pPr>
        <w:spacing w:before="3" w:line="240" w:lineRule="auto"/>
        <w:ind w:right="13"/>
        <w:jc w:val="center"/>
        <w:outlineLvl w:val="9"/>
        <w:rPr>
          <w:rFonts w:ascii="宋体" w:hAnsi="宋体" w:eastAsia="宋体" w:cs="宋体"/>
          <w:b/>
          <w:bCs/>
          <w:color w:val="auto"/>
          <w:sz w:val="32"/>
          <w:szCs w:val="32"/>
          <w:highlight w:val="none"/>
        </w:rPr>
      </w:pPr>
      <w:bookmarkStart w:id="146" w:name="_Toc16062"/>
      <w:bookmarkStart w:id="147" w:name="_Toc884"/>
      <w:r>
        <w:rPr>
          <w:rFonts w:hint="eastAsia" w:ascii="宋体" w:hAnsi="宋体" w:eastAsia="宋体" w:cs="宋体"/>
          <w:b/>
          <w:bCs/>
          <w:color w:val="auto"/>
          <w:sz w:val="32"/>
          <w:szCs w:val="32"/>
          <w:highlight w:val="none"/>
          <w:lang w:eastAsia="zh-CN"/>
        </w:rPr>
        <w:t>八</w:t>
      </w:r>
      <w:r>
        <w:rPr>
          <w:rFonts w:hint="eastAsia" w:ascii="宋体" w:hAnsi="宋体" w:eastAsia="宋体" w:cs="宋体"/>
          <w:b/>
          <w:bCs/>
          <w:color w:val="auto"/>
          <w:sz w:val="32"/>
          <w:szCs w:val="32"/>
          <w:highlight w:val="none"/>
        </w:rPr>
        <w:t>、投标人本项目管理、技术、服务人员情况表</w:t>
      </w:r>
      <w:bookmarkEnd w:id="146"/>
      <w:bookmarkEnd w:id="147"/>
    </w:p>
    <w:p>
      <w:pPr>
        <w:spacing w:line="240" w:lineRule="auto"/>
        <w:rPr>
          <w:color w:val="auto"/>
          <w:highlight w:val="none"/>
        </w:rPr>
      </w:pPr>
    </w:p>
    <w:p>
      <w:pPr>
        <w:spacing w:before="75" w:line="240" w:lineRule="auto"/>
        <w:ind w:firstLine="456" w:firstLineChars="200"/>
        <w:rPr>
          <w:rFonts w:ascii="宋体" w:hAnsi="宋体" w:eastAsia="宋体" w:cs="宋体"/>
          <w:color w:val="auto"/>
          <w:sz w:val="23"/>
          <w:szCs w:val="23"/>
          <w:highlight w:val="none"/>
        </w:rPr>
      </w:pPr>
      <w:r>
        <w:rPr>
          <w:rFonts w:ascii="宋体" w:hAnsi="宋体" w:eastAsia="宋体" w:cs="宋体"/>
          <w:color w:val="auto"/>
          <w:spacing w:val="-6"/>
          <w:sz w:val="24"/>
          <w:szCs w:val="24"/>
          <w:highlight w:val="none"/>
        </w:rPr>
        <w:t>项目名称</w:t>
      </w:r>
      <w:r>
        <w:rPr>
          <w:rFonts w:ascii="宋体" w:hAnsi="宋体" w:eastAsia="宋体" w:cs="宋体"/>
          <w:color w:val="auto"/>
          <w:spacing w:val="-5"/>
          <w:sz w:val="24"/>
          <w:szCs w:val="24"/>
          <w:highlight w:val="none"/>
        </w:rPr>
        <w:t>：</w:t>
      </w:r>
      <w:r>
        <w:rPr>
          <w:rFonts w:ascii="宋体" w:hAnsi="宋体" w:eastAsia="宋体" w:cs="宋体"/>
          <w:color w:val="auto"/>
          <w:spacing w:val="-3"/>
          <w:sz w:val="24"/>
          <w:szCs w:val="24"/>
          <w:highlight w:val="none"/>
          <w:u w:val="single"/>
        </w:rPr>
        <w:t xml:space="preserve">               </w:t>
      </w:r>
      <w:r>
        <w:rPr>
          <w:rFonts w:ascii="宋体" w:hAnsi="宋体" w:eastAsia="宋体" w:cs="宋体"/>
          <w:color w:val="auto"/>
          <w:spacing w:val="-3"/>
          <w:sz w:val="24"/>
          <w:szCs w:val="24"/>
          <w:highlight w:val="none"/>
        </w:rPr>
        <w:t>招标编号：</w:t>
      </w:r>
      <w:r>
        <w:rPr>
          <w:rFonts w:ascii="宋体" w:hAnsi="宋体" w:eastAsia="宋体" w:cs="宋体"/>
          <w:color w:val="auto"/>
          <w:sz w:val="24"/>
          <w:szCs w:val="24"/>
          <w:highlight w:val="none"/>
          <w:u w:val="single"/>
        </w:rPr>
        <w:t xml:space="preserve">              </w:t>
      </w:r>
      <w:r>
        <w:rPr>
          <w:rFonts w:ascii="宋体" w:hAnsi="宋体" w:eastAsia="宋体" w:cs="宋体"/>
          <w:color w:val="auto"/>
          <w:sz w:val="23"/>
          <w:szCs w:val="23"/>
          <w:highlight w:val="none"/>
        </w:rPr>
        <w:t xml:space="preserve"> </w:t>
      </w:r>
      <w:r>
        <w:rPr>
          <w:rFonts w:hint="eastAsia" w:ascii="宋体" w:hAnsi="宋体" w:eastAsia="宋体" w:cs="宋体"/>
          <w:color w:val="auto"/>
          <w:sz w:val="23"/>
          <w:szCs w:val="23"/>
          <w:highlight w:val="none"/>
        </w:rPr>
        <w:t xml:space="preserve">  </w:t>
      </w:r>
    </w:p>
    <w:tbl>
      <w:tblPr>
        <w:tblStyle w:val="23"/>
        <w:tblW w:w="7576" w:type="dxa"/>
        <w:tblInd w:w="37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58"/>
        <w:gridCol w:w="806"/>
        <w:gridCol w:w="807"/>
        <w:gridCol w:w="807"/>
        <w:gridCol w:w="807"/>
        <w:gridCol w:w="850"/>
        <w:gridCol w:w="959"/>
        <w:gridCol w:w="846"/>
        <w:gridCol w:w="73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trPr>
        <w:tc>
          <w:tcPr>
            <w:tcW w:w="958" w:type="dxa"/>
            <w:vMerge w:val="restart"/>
            <w:tcBorders>
              <w:bottom w:val="nil"/>
            </w:tcBorders>
          </w:tcPr>
          <w:p>
            <w:pPr>
              <w:spacing w:line="240" w:lineRule="auto"/>
              <w:rPr>
                <w:color w:val="auto"/>
                <w:sz w:val="24"/>
                <w:szCs w:val="24"/>
                <w:highlight w:val="none"/>
              </w:rPr>
            </w:pPr>
          </w:p>
          <w:p>
            <w:pPr>
              <w:spacing w:before="75" w:line="240" w:lineRule="auto"/>
              <w:ind w:left="117"/>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类别</w:t>
            </w:r>
          </w:p>
        </w:tc>
        <w:tc>
          <w:tcPr>
            <w:tcW w:w="806" w:type="dxa"/>
            <w:vMerge w:val="restart"/>
            <w:tcBorders>
              <w:bottom w:val="nil"/>
            </w:tcBorders>
          </w:tcPr>
          <w:p>
            <w:pPr>
              <w:spacing w:line="240" w:lineRule="auto"/>
              <w:rPr>
                <w:color w:val="auto"/>
                <w:sz w:val="24"/>
                <w:szCs w:val="24"/>
                <w:highlight w:val="none"/>
              </w:rPr>
            </w:pPr>
          </w:p>
          <w:p>
            <w:pPr>
              <w:spacing w:before="75" w:line="240" w:lineRule="auto"/>
              <w:ind w:left="113"/>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职</w:t>
            </w:r>
            <w:r>
              <w:rPr>
                <w:rFonts w:ascii="宋体" w:hAnsi="宋体" w:eastAsia="宋体" w:cs="宋体"/>
                <w:color w:val="auto"/>
                <w:spacing w:val="4"/>
                <w:sz w:val="24"/>
                <w:szCs w:val="24"/>
                <w:highlight w:val="none"/>
              </w:rPr>
              <w:t>务</w:t>
            </w:r>
          </w:p>
        </w:tc>
        <w:tc>
          <w:tcPr>
            <w:tcW w:w="807" w:type="dxa"/>
            <w:vMerge w:val="restart"/>
            <w:tcBorders>
              <w:bottom w:val="nil"/>
            </w:tcBorders>
          </w:tcPr>
          <w:p>
            <w:pPr>
              <w:spacing w:line="240" w:lineRule="auto"/>
              <w:rPr>
                <w:color w:val="auto"/>
                <w:sz w:val="24"/>
                <w:szCs w:val="24"/>
                <w:highlight w:val="none"/>
              </w:rPr>
            </w:pPr>
          </w:p>
          <w:p>
            <w:pPr>
              <w:spacing w:before="75" w:line="240" w:lineRule="auto"/>
              <w:ind w:left="114"/>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姓名</w:t>
            </w:r>
          </w:p>
        </w:tc>
        <w:tc>
          <w:tcPr>
            <w:tcW w:w="807" w:type="dxa"/>
            <w:vMerge w:val="restart"/>
            <w:tcBorders>
              <w:bottom w:val="nil"/>
            </w:tcBorders>
          </w:tcPr>
          <w:p>
            <w:pPr>
              <w:spacing w:line="240" w:lineRule="auto"/>
              <w:rPr>
                <w:color w:val="auto"/>
                <w:sz w:val="24"/>
                <w:szCs w:val="24"/>
                <w:highlight w:val="none"/>
              </w:rPr>
            </w:pPr>
          </w:p>
          <w:p>
            <w:pPr>
              <w:spacing w:before="74" w:line="240" w:lineRule="auto"/>
              <w:ind w:left="115"/>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职</w:t>
            </w:r>
            <w:r>
              <w:rPr>
                <w:rFonts w:ascii="宋体" w:hAnsi="宋体" w:eastAsia="宋体" w:cs="宋体"/>
                <w:color w:val="auto"/>
                <w:spacing w:val="4"/>
                <w:sz w:val="24"/>
                <w:szCs w:val="24"/>
                <w:highlight w:val="none"/>
              </w:rPr>
              <w:t>称</w:t>
            </w:r>
          </w:p>
        </w:tc>
        <w:tc>
          <w:tcPr>
            <w:tcW w:w="807" w:type="dxa"/>
            <w:vMerge w:val="restart"/>
            <w:tcBorders>
              <w:bottom w:val="nil"/>
            </w:tcBorders>
          </w:tcPr>
          <w:p>
            <w:pPr>
              <w:spacing w:line="240" w:lineRule="auto"/>
              <w:rPr>
                <w:color w:val="auto"/>
                <w:sz w:val="24"/>
                <w:szCs w:val="24"/>
                <w:highlight w:val="none"/>
              </w:rPr>
            </w:pPr>
          </w:p>
          <w:p>
            <w:pPr>
              <w:spacing w:before="75" w:line="240" w:lineRule="auto"/>
              <w:ind w:left="119"/>
              <w:rPr>
                <w:rFonts w:ascii="宋体" w:hAnsi="宋体" w:eastAsia="宋体" w:cs="宋体"/>
                <w:color w:val="auto"/>
                <w:sz w:val="24"/>
                <w:szCs w:val="24"/>
                <w:highlight w:val="none"/>
              </w:rPr>
            </w:pPr>
            <w:r>
              <w:rPr>
                <w:rFonts w:ascii="宋体" w:hAnsi="宋体" w:eastAsia="宋体" w:cs="宋体"/>
                <w:color w:val="auto"/>
                <w:spacing w:val="2"/>
                <w:position w:val="9"/>
                <w:sz w:val="24"/>
                <w:szCs w:val="24"/>
                <w:highlight w:val="none"/>
              </w:rPr>
              <w:t>常住</w:t>
            </w:r>
          </w:p>
          <w:p>
            <w:pPr>
              <w:spacing w:line="240" w:lineRule="auto"/>
              <w:ind w:left="113"/>
              <w:rPr>
                <w:rFonts w:ascii="宋体" w:hAnsi="宋体" w:eastAsia="宋体" w:cs="宋体"/>
                <w:color w:val="auto"/>
                <w:sz w:val="24"/>
                <w:szCs w:val="24"/>
                <w:highlight w:val="none"/>
              </w:rPr>
            </w:pPr>
            <w:r>
              <w:rPr>
                <w:rFonts w:ascii="宋体" w:hAnsi="宋体" w:eastAsia="宋体" w:cs="宋体"/>
                <w:color w:val="auto"/>
                <w:sz w:val="24"/>
                <w:szCs w:val="24"/>
                <w:highlight w:val="none"/>
              </w:rPr>
              <w:t>地</w:t>
            </w:r>
          </w:p>
        </w:tc>
        <w:tc>
          <w:tcPr>
            <w:tcW w:w="3391" w:type="dxa"/>
            <w:gridSpan w:val="4"/>
          </w:tcPr>
          <w:p>
            <w:pPr>
              <w:spacing w:before="175" w:line="240" w:lineRule="auto"/>
              <w:ind w:left="593"/>
              <w:rPr>
                <w:rFonts w:ascii="宋体" w:hAnsi="宋体" w:eastAsia="宋体" w:cs="宋体"/>
                <w:color w:val="auto"/>
                <w:sz w:val="24"/>
                <w:szCs w:val="24"/>
                <w:highlight w:val="none"/>
              </w:rPr>
            </w:pPr>
            <w:r>
              <w:rPr>
                <w:rFonts w:ascii="宋体" w:hAnsi="宋体" w:eastAsia="宋体" w:cs="宋体"/>
                <w:color w:val="auto"/>
                <w:spacing w:val="10"/>
                <w:sz w:val="24"/>
                <w:szCs w:val="24"/>
                <w:highlight w:val="none"/>
              </w:rPr>
              <w:t>资</w:t>
            </w:r>
            <w:r>
              <w:rPr>
                <w:rFonts w:ascii="宋体" w:hAnsi="宋体" w:eastAsia="宋体" w:cs="宋体"/>
                <w:color w:val="auto"/>
                <w:spacing w:val="6"/>
                <w:sz w:val="24"/>
                <w:szCs w:val="24"/>
                <w:highlight w:val="none"/>
              </w:rPr>
              <w:t>格证明 (附复印件)</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4" w:hRule="atLeast"/>
        </w:trPr>
        <w:tc>
          <w:tcPr>
            <w:tcW w:w="958" w:type="dxa"/>
            <w:vMerge w:val="continue"/>
            <w:tcBorders>
              <w:top w:val="nil"/>
            </w:tcBorders>
          </w:tcPr>
          <w:p>
            <w:pPr>
              <w:spacing w:line="240" w:lineRule="auto"/>
              <w:rPr>
                <w:color w:val="auto"/>
                <w:sz w:val="24"/>
                <w:szCs w:val="24"/>
                <w:highlight w:val="none"/>
              </w:rPr>
            </w:pPr>
          </w:p>
        </w:tc>
        <w:tc>
          <w:tcPr>
            <w:tcW w:w="806" w:type="dxa"/>
            <w:vMerge w:val="continue"/>
            <w:tcBorders>
              <w:top w:val="nil"/>
            </w:tcBorders>
          </w:tcPr>
          <w:p>
            <w:pPr>
              <w:spacing w:line="240" w:lineRule="auto"/>
              <w:rPr>
                <w:color w:val="auto"/>
                <w:sz w:val="24"/>
                <w:szCs w:val="24"/>
                <w:highlight w:val="none"/>
              </w:rPr>
            </w:pPr>
          </w:p>
        </w:tc>
        <w:tc>
          <w:tcPr>
            <w:tcW w:w="807" w:type="dxa"/>
            <w:vMerge w:val="continue"/>
            <w:tcBorders>
              <w:top w:val="nil"/>
            </w:tcBorders>
          </w:tcPr>
          <w:p>
            <w:pPr>
              <w:spacing w:line="240" w:lineRule="auto"/>
              <w:rPr>
                <w:color w:val="auto"/>
                <w:sz w:val="24"/>
                <w:szCs w:val="24"/>
                <w:highlight w:val="none"/>
              </w:rPr>
            </w:pPr>
          </w:p>
        </w:tc>
        <w:tc>
          <w:tcPr>
            <w:tcW w:w="807" w:type="dxa"/>
            <w:vMerge w:val="continue"/>
            <w:tcBorders>
              <w:top w:val="nil"/>
            </w:tcBorders>
          </w:tcPr>
          <w:p>
            <w:pPr>
              <w:spacing w:line="240" w:lineRule="auto"/>
              <w:rPr>
                <w:color w:val="auto"/>
                <w:sz w:val="24"/>
                <w:szCs w:val="24"/>
                <w:highlight w:val="none"/>
              </w:rPr>
            </w:pPr>
          </w:p>
        </w:tc>
        <w:tc>
          <w:tcPr>
            <w:tcW w:w="807" w:type="dxa"/>
            <w:vMerge w:val="continue"/>
            <w:tcBorders>
              <w:top w:val="nil"/>
            </w:tcBorders>
          </w:tcPr>
          <w:p>
            <w:pPr>
              <w:spacing w:line="240" w:lineRule="auto"/>
              <w:rPr>
                <w:color w:val="auto"/>
                <w:sz w:val="24"/>
                <w:szCs w:val="24"/>
                <w:highlight w:val="none"/>
              </w:rPr>
            </w:pPr>
          </w:p>
        </w:tc>
        <w:tc>
          <w:tcPr>
            <w:tcW w:w="850" w:type="dxa"/>
          </w:tcPr>
          <w:p>
            <w:pPr>
              <w:spacing w:before="85" w:line="240" w:lineRule="auto"/>
              <w:ind w:left="113"/>
              <w:rPr>
                <w:rFonts w:ascii="宋体" w:hAnsi="宋体" w:eastAsia="宋体" w:cs="宋体"/>
                <w:color w:val="auto"/>
                <w:sz w:val="24"/>
                <w:szCs w:val="24"/>
                <w:highlight w:val="none"/>
              </w:rPr>
            </w:pPr>
            <w:r>
              <w:rPr>
                <w:rFonts w:ascii="宋体" w:hAnsi="宋体" w:eastAsia="宋体" w:cs="宋体"/>
                <w:color w:val="auto"/>
                <w:spacing w:val="5"/>
                <w:position w:val="9"/>
                <w:sz w:val="24"/>
                <w:szCs w:val="24"/>
                <w:highlight w:val="none"/>
              </w:rPr>
              <w:t>证书</w:t>
            </w:r>
          </w:p>
          <w:p>
            <w:pPr>
              <w:spacing w:line="240" w:lineRule="auto"/>
              <w:ind w:left="116"/>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名</w:t>
            </w:r>
            <w:r>
              <w:rPr>
                <w:rFonts w:ascii="宋体" w:hAnsi="宋体" w:eastAsia="宋体" w:cs="宋体"/>
                <w:color w:val="auto"/>
                <w:spacing w:val="3"/>
                <w:sz w:val="24"/>
                <w:szCs w:val="24"/>
                <w:highlight w:val="none"/>
              </w:rPr>
              <w:t>称</w:t>
            </w:r>
          </w:p>
        </w:tc>
        <w:tc>
          <w:tcPr>
            <w:tcW w:w="959" w:type="dxa"/>
          </w:tcPr>
          <w:p>
            <w:pPr>
              <w:spacing w:before="265" w:line="240" w:lineRule="auto"/>
              <w:ind w:left="118"/>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级别</w:t>
            </w:r>
          </w:p>
        </w:tc>
        <w:tc>
          <w:tcPr>
            <w:tcW w:w="846" w:type="dxa"/>
          </w:tcPr>
          <w:p>
            <w:pPr>
              <w:spacing w:before="264" w:line="240" w:lineRule="auto"/>
              <w:ind w:left="116"/>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证号</w:t>
            </w:r>
          </w:p>
        </w:tc>
        <w:tc>
          <w:tcPr>
            <w:tcW w:w="736" w:type="dxa"/>
          </w:tcPr>
          <w:p>
            <w:pPr>
              <w:spacing w:before="265" w:line="240" w:lineRule="auto"/>
              <w:ind w:left="118"/>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专</w:t>
            </w:r>
            <w:r>
              <w:rPr>
                <w:rFonts w:ascii="宋体" w:hAnsi="宋体" w:eastAsia="宋体" w:cs="宋体"/>
                <w:color w:val="auto"/>
                <w:spacing w:val="4"/>
                <w:sz w:val="24"/>
                <w:szCs w:val="24"/>
                <w:highlight w:val="none"/>
              </w:rPr>
              <w:t>业</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6" w:hRule="atLeast"/>
        </w:trPr>
        <w:tc>
          <w:tcPr>
            <w:tcW w:w="958" w:type="dxa"/>
            <w:vMerge w:val="restart"/>
            <w:tcBorders>
              <w:bottom w:val="nil"/>
            </w:tcBorders>
          </w:tcPr>
          <w:p>
            <w:pPr>
              <w:spacing w:line="240" w:lineRule="auto"/>
              <w:ind w:left="123"/>
              <w:rPr>
                <w:rFonts w:ascii="宋体" w:hAnsi="宋体" w:eastAsia="宋体" w:cs="宋体"/>
                <w:color w:val="auto"/>
                <w:spacing w:val="2"/>
                <w:position w:val="9"/>
                <w:sz w:val="24"/>
                <w:szCs w:val="24"/>
                <w:highlight w:val="none"/>
              </w:rPr>
            </w:pPr>
          </w:p>
          <w:p>
            <w:pPr>
              <w:spacing w:line="240" w:lineRule="auto"/>
              <w:ind w:left="123"/>
              <w:rPr>
                <w:rFonts w:ascii="宋体" w:hAnsi="宋体" w:eastAsia="宋体" w:cs="宋体"/>
                <w:color w:val="auto"/>
                <w:sz w:val="24"/>
                <w:szCs w:val="24"/>
                <w:highlight w:val="none"/>
              </w:rPr>
            </w:pPr>
            <w:r>
              <w:rPr>
                <w:rFonts w:ascii="宋体" w:hAnsi="宋体" w:eastAsia="宋体" w:cs="宋体"/>
                <w:color w:val="auto"/>
                <w:spacing w:val="2"/>
                <w:position w:val="9"/>
                <w:sz w:val="24"/>
                <w:szCs w:val="24"/>
                <w:highlight w:val="none"/>
              </w:rPr>
              <w:t>管理</w:t>
            </w:r>
          </w:p>
          <w:p>
            <w:pPr>
              <w:spacing w:line="240" w:lineRule="auto"/>
              <w:ind w:left="119"/>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人员</w:t>
            </w:r>
          </w:p>
        </w:tc>
        <w:tc>
          <w:tcPr>
            <w:tcW w:w="806" w:type="dxa"/>
          </w:tcPr>
          <w:p>
            <w:pPr>
              <w:spacing w:line="240" w:lineRule="auto"/>
              <w:rPr>
                <w:color w:val="auto"/>
                <w:sz w:val="24"/>
                <w:szCs w:val="24"/>
                <w:highlight w:val="none"/>
              </w:rPr>
            </w:pPr>
          </w:p>
        </w:tc>
        <w:tc>
          <w:tcPr>
            <w:tcW w:w="807" w:type="dxa"/>
          </w:tcPr>
          <w:p>
            <w:pPr>
              <w:spacing w:line="240" w:lineRule="auto"/>
              <w:rPr>
                <w:color w:val="auto"/>
                <w:sz w:val="24"/>
                <w:szCs w:val="24"/>
                <w:highlight w:val="none"/>
              </w:rPr>
            </w:pPr>
          </w:p>
        </w:tc>
        <w:tc>
          <w:tcPr>
            <w:tcW w:w="807" w:type="dxa"/>
          </w:tcPr>
          <w:p>
            <w:pPr>
              <w:spacing w:line="240" w:lineRule="auto"/>
              <w:rPr>
                <w:color w:val="auto"/>
                <w:sz w:val="24"/>
                <w:szCs w:val="24"/>
                <w:highlight w:val="none"/>
              </w:rPr>
            </w:pPr>
          </w:p>
        </w:tc>
        <w:tc>
          <w:tcPr>
            <w:tcW w:w="807" w:type="dxa"/>
          </w:tcPr>
          <w:p>
            <w:pPr>
              <w:spacing w:line="240" w:lineRule="auto"/>
              <w:rPr>
                <w:color w:val="auto"/>
                <w:sz w:val="24"/>
                <w:szCs w:val="24"/>
                <w:highlight w:val="none"/>
              </w:rPr>
            </w:pPr>
          </w:p>
        </w:tc>
        <w:tc>
          <w:tcPr>
            <w:tcW w:w="850" w:type="dxa"/>
          </w:tcPr>
          <w:p>
            <w:pPr>
              <w:spacing w:line="240" w:lineRule="auto"/>
              <w:rPr>
                <w:color w:val="auto"/>
                <w:sz w:val="24"/>
                <w:szCs w:val="24"/>
                <w:highlight w:val="none"/>
              </w:rPr>
            </w:pPr>
          </w:p>
        </w:tc>
        <w:tc>
          <w:tcPr>
            <w:tcW w:w="959" w:type="dxa"/>
          </w:tcPr>
          <w:p>
            <w:pPr>
              <w:spacing w:line="240" w:lineRule="auto"/>
              <w:rPr>
                <w:color w:val="auto"/>
                <w:sz w:val="24"/>
                <w:szCs w:val="24"/>
                <w:highlight w:val="none"/>
              </w:rPr>
            </w:pPr>
          </w:p>
        </w:tc>
        <w:tc>
          <w:tcPr>
            <w:tcW w:w="846" w:type="dxa"/>
          </w:tcPr>
          <w:p>
            <w:pPr>
              <w:spacing w:line="240" w:lineRule="auto"/>
              <w:rPr>
                <w:color w:val="auto"/>
                <w:sz w:val="24"/>
                <w:szCs w:val="24"/>
                <w:highlight w:val="none"/>
              </w:rPr>
            </w:pPr>
          </w:p>
        </w:tc>
        <w:tc>
          <w:tcPr>
            <w:tcW w:w="736" w:type="dxa"/>
          </w:tcPr>
          <w:p>
            <w:pPr>
              <w:spacing w:line="240" w:lineRule="auto"/>
              <w:rPr>
                <w:color w:val="auto"/>
                <w:sz w:val="24"/>
                <w:szCs w:val="24"/>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4" w:hRule="atLeast"/>
        </w:trPr>
        <w:tc>
          <w:tcPr>
            <w:tcW w:w="958" w:type="dxa"/>
            <w:vMerge w:val="continue"/>
            <w:tcBorders>
              <w:top w:val="nil"/>
              <w:bottom w:val="nil"/>
            </w:tcBorders>
          </w:tcPr>
          <w:p>
            <w:pPr>
              <w:spacing w:line="240" w:lineRule="auto"/>
              <w:rPr>
                <w:color w:val="auto"/>
                <w:sz w:val="24"/>
                <w:szCs w:val="24"/>
                <w:highlight w:val="none"/>
              </w:rPr>
            </w:pPr>
          </w:p>
        </w:tc>
        <w:tc>
          <w:tcPr>
            <w:tcW w:w="806" w:type="dxa"/>
          </w:tcPr>
          <w:p>
            <w:pPr>
              <w:spacing w:line="240" w:lineRule="auto"/>
              <w:rPr>
                <w:color w:val="auto"/>
                <w:sz w:val="24"/>
                <w:szCs w:val="24"/>
                <w:highlight w:val="none"/>
              </w:rPr>
            </w:pPr>
          </w:p>
        </w:tc>
        <w:tc>
          <w:tcPr>
            <w:tcW w:w="807" w:type="dxa"/>
          </w:tcPr>
          <w:p>
            <w:pPr>
              <w:spacing w:line="240" w:lineRule="auto"/>
              <w:rPr>
                <w:color w:val="auto"/>
                <w:sz w:val="24"/>
                <w:szCs w:val="24"/>
                <w:highlight w:val="none"/>
              </w:rPr>
            </w:pPr>
          </w:p>
        </w:tc>
        <w:tc>
          <w:tcPr>
            <w:tcW w:w="807" w:type="dxa"/>
          </w:tcPr>
          <w:p>
            <w:pPr>
              <w:spacing w:line="240" w:lineRule="auto"/>
              <w:rPr>
                <w:color w:val="auto"/>
                <w:sz w:val="24"/>
                <w:szCs w:val="24"/>
                <w:highlight w:val="none"/>
              </w:rPr>
            </w:pPr>
          </w:p>
        </w:tc>
        <w:tc>
          <w:tcPr>
            <w:tcW w:w="807" w:type="dxa"/>
          </w:tcPr>
          <w:p>
            <w:pPr>
              <w:spacing w:line="240" w:lineRule="auto"/>
              <w:rPr>
                <w:color w:val="auto"/>
                <w:sz w:val="24"/>
                <w:szCs w:val="24"/>
                <w:highlight w:val="none"/>
              </w:rPr>
            </w:pPr>
          </w:p>
        </w:tc>
        <w:tc>
          <w:tcPr>
            <w:tcW w:w="850" w:type="dxa"/>
          </w:tcPr>
          <w:p>
            <w:pPr>
              <w:spacing w:line="240" w:lineRule="auto"/>
              <w:rPr>
                <w:color w:val="auto"/>
                <w:sz w:val="24"/>
                <w:szCs w:val="24"/>
                <w:highlight w:val="none"/>
              </w:rPr>
            </w:pPr>
          </w:p>
        </w:tc>
        <w:tc>
          <w:tcPr>
            <w:tcW w:w="959" w:type="dxa"/>
          </w:tcPr>
          <w:p>
            <w:pPr>
              <w:spacing w:line="240" w:lineRule="auto"/>
              <w:rPr>
                <w:color w:val="auto"/>
                <w:sz w:val="24"/>
                <w:szCs w:val="24"/>
                <w:highlight w:val="none"/>
              </w:rPr>
            </w:pPr>
          </w:p>
        </w:tc>
        <w:tc>
          <w:tcPr>
            <w:tcW w:w="846" w:type="dxa"/>
          </w:tcPr>
          <w:p>
            <w:pPr>
              <w:spacing w:line="240" w:lineRule="auto"/>
              <w:rPr>
                <w:color w:val="auto"/>
                <w:sz w:val="24"/>
                <w:szCs w:val="24"/>
                <w:highlight w:val="none"/>
              </w:rPr>
            </w:pPr>
          </w:p>
        </w:tc>
        <w:tc>
          <w:tcPr>
            <w:tcW w:w="736" w:type="dxa"/>
          </w:tcPr>
          <w:p>
            <w:pPr>
              <w:spacing w:line="240" w:lineRule="auto"/>
              <w:rPr>
                <w:color w:val="auto"/>
                <w:sz w:val="24"/>
                <w:szCs w:val="24"/>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5" w:hRule="atLeast"/>
        </w:trPr>
        <w:tc>
          <w:tcPr>
            <w:tcW w:w="958" w:type="dxa"/>
            <w:vMerge w:val="continue"/>
            <w:tcBorders>
              <w:top w:val="nil"/>
            </w:tcBorders>
          </w:tcPr>
          <w:p>
            <w:pPr>
              <w:spacing w:line="240" w:lineRule="auto"/>
              <w:rPr>
                <w:color w:val="auto"/>
                <w:sz w:val="24"/>
                <w:szCs w:val="24"/>
                <w:highlight w:val="none"/>
              </w:rPr>
            </w:pPr>
          </w:p>
        </w:tc>
        <w:tc>
          <w:tcPr>
            <w:tcW w:w="806" w:type="dxa"/>
          </w:tcPr>
          <w:p>
            <w:pPr>
              <w:spacing w:line="240" w:lineRule="auto"/>
              <w:rPr>
                <w:color w:val="auto"/>
                <w:sz w:val="24"/>
                <w:szCs w:val="24"/>
                <w:highlight w:val="none"/>
              </w:rPr>
            </w:pPr>
          </w:p>
        </w:tc>
        <w:tc>
          <w:tcPr>
            <w:tcW w:w="807" w:type="dxa"/>
          </w:tcPr>
          <w:p>
            <w:pPr>
              <w:spacing w:line="240" w:lineRule="auto"/>
              <w:rPr>
                <w:color w:val="auto"/>
                <w:sz w:val="24"/>
                <w:szCs w:val="24"/>
                <w:highlight w:val="none"/>
              </w:rPr>
            </w:pPr>
          </w:p>
        </w:tc>
        <w:tc>
          <w:tcPr>
            <w:tcW w:w="807" w:type="dxa"/>
          </w:tcPr>
          <w:p>
            <w:pPr>
              <w:spacing w:line="240" w:lineRule="auto"/>
              <w:rPr>
                <w:color w:val="auto"/>
                <w:sz w:val="24"/>
                <w:szCs w:val="24"/>
                <w:highlight w:val="none"/>
              </w:rPr>
            </w:pPr>
          </w:p>
        </w:tc>
        <w:tc>
          <w:tcPr>
            <w:tcW w:w="807" w:type="dxa"/>
          </w:tcPr>
          <w:p>
            <w:pPr>
              <w:spacing w:line="240" w:lineRule="auto"/>
              <w:rPr>
                <w:color w:val="auto"/>
                <w:sz w:val="24"/>
                <w:szCs w:val="24"/>
                <w:highlight w:val="none"/>
              </w:rPr>
            </w:pPr>
          </w:p>
        </w:tc>
        <w:tc>
          <w:tcPr>
            <w:tcW w:w="850" w:type="dxa"/>
          </w:tcPr>
          <w:p>
            <w:pPr>
              <w:spacing w:line="240" w:lineRule="auto"/>
              <w:rPr>
                <w:color w:val="auto"/>
                <w:sz w:val="24"/>
                <w:szCs w:val="24"/>
                <w:highlight w:val="none"/>
              </w:rPr>
            </w:pPr>
          </w:p>
        </w:tc>
        <w:tc>
          <w:tcPr>
            <w:tcW w:w="959" w:type="dxa"/>
          </w:tcPr>
          <w:p>
            <w:pPr>
              <w:spacing w:line="240" w:lineRule="auto"/>
              <w:rPr>
                <w:color w:val="auto"/>
                <w:sz w:val="24"/>
                <w:szCs w:val="24"/>
                <w:highlight w:val="none"/>
              </w:rPr>
            </w:pPr>
          </w:p>
        </w:tc>
        <w:tc>
          <w:tcPr>
            <w:tcW w:w="846" w:type="dxa"/>
          </w:tcPr>
          <w:p>
            <w:pPr>
              <w:spacing w:line="240" w:lineRule="auto"/>
              <w:rPr>
                <w:color w:val="auto"/>
                <w:sz w:val="24"/>
                <w:szCs w:val="24"/>
                <w:highlight w:val="none"/>
              </w:rPr>
            </w:pPr>
          </w:p>
        </w:tc>
        <w:tc>
          <w:tcPr>
            <w:tcW w:w="736" w:type="dxa"/>
          </w:tcPr>
          <w:p>
            <w:pPr>
              <w:spacing w:line="240" w:lineRule="auto"/>
              <w:rPr>
                <w:color w:val="auto"/>
                <w:sz w:val="24"/>
                <w:szCs w:val="24"/>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5" w:hRule="atLeast"/>
        </w:trPr>
        <w:tc>
          <w:tcPr>
            <w:tcW w:w="958" w:type="dxa"/>
            <w:vMerge w:val="restart"/>
            <w:tcBorders>
              <w:bottom w:val="nil"/>
            </w:tcBorders>
          </w:tcPr>
          <w:p>
            <w:pPr>
              <w:spacing w:line="240" w:lineRule="auto"/>
              <w:ind w:left="118"/>
              <w:rPr>
                <w:rFonts w:ascii="宋体" w:hAnsi="宋体" w:eastAsia="宋体" w:cs="宋体"/>
                <w:color w:val="auto"/>
                <w:spacing w:val="5"/>
                <w:position w:val="9"/>
                <w:sz w:val="24"/>
                <w:szCs w:val="24"/>
                <w:highlight w:val="none"/>
              </w:rPr>
            </w:pPr>
          </w:p>
          <w:p>
            <w:pPr>
              <w:spacing w:line="240" w:lineRule="auto"/>
              <w:ind w:left="118"/>
              <w:rPr>
                <w:rFonts w:ascii="宋体" w:hAnsi="宋体" w:eastAsia="宋体" w:cs="宋体"/>
                <w:color w:val="auto"/>
                <w:sz w:val="24"/>
                <w:szCs w:val="24"/>
                <w:highlight w:val="none"/>
              </w:rPr>
            </w:pPr>
            <w:r>
              <w:rPr>
                <w:rFonts w:ascii="宋体" w:hAnsi="宋体" w:eastAsia="宋体" w:cs="宋体"/>
                <w:color w:val="auto"/>
                <w:spacing w:val="5"/>
                <w:position w:val="9"/>
                <w:sz w:val="24"/>
                <w:szCs w:val="24"/>
                <w:highlight w:val="none"/>
              </w:rPr>
              <w:t>技</w:t>
            </w:r>
            <w:r>
              <w:rPr>
                <w:rFonts w:ascii="宋体" w:hAnsi="宋体" w:eastAsia="宋体" w:cs="宋体"/>
                <w:color w:val="auto"/>
                <w:spacing w:val="4"/>
                <w:position w:val="9"/>
                <w:sz w:val="24"/>
                <w:szCs w:val="24"/>
                <w:highlight w:val="none"/>
              </w:rPr>
              <w:t>术</w:t>
            </w:r>
          </w:p>
          <w:p>
            <w:pPr>
              <w:spacing w:line="240" w:lineRule="auto"/>
              <w:ind w:left="119"/>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人员</w:t>
            </w:r>
          </w:p>
        </w:tc>
        <w:tc>
          <w:tcPr>
            <w:tcW w:w="806" w:type="dxa"/>
          </w:tcPr>
          <w:p>
            <w:pPr>
              <w:spacing w:line="240" w:lineRule="auto"/>
              <w:rPr>
                <w:color w:val="auto"/>
                <w:sz w:val="24"/>
                <w:szCs w:val="24"/>
                <w:highlight w:val="none"/>
              </w:rPr>
            </w:pPr>
          </w:p>
        </w:tc>
        <w:tc>
          <w:tcPr>
            <w:tcW w:w="807" w:type="dxa"/>
          </w:tcPr>
          <w:p>
            <w:pPr>
              <w:spacing w:line="240" w:lineRule="auto"/>
              <w:rPr>
                <w:color w:val="auto"/>
                <w:sz w:val="24"/>
                <w:szCs w:val="24"/>
                <w:highlight w:val="none"/>
              </w:rPr>
            </w:pPr>
          </w:p>
        </w:tc>
        <w:tc>
          <w:tcPr>
            <w:tcW w:w="807" w:type="dxa"/>
          </w:tcPr>
          <w:p>
            <w:pPr>
              <w:spacing w:line="240" w:lineRule="auto"/>
              <w:rPr>
                <w:color w:val="auto"/>
                <w:sz w:val="24"/>
                <w:szCs w:val="24"/>
                <w:highlight w:val="none"/>
              </w:rPr>
            </w:pPr>
          </w:p>
        </w:tc>
        <w:tc>
          <w:tcPr>
            <w:tcW w:w="807" w:type="dxa"/>
          </w:tcPr>
          <w:p>
            <w:pPr>
              <w:spacing w:line="240" w:lineRule="auto"/>
              <w:rPr>
                <w:color w:val="auto"/>
                <w:sz w:val="24"/>
                <w:szCs w:val="24"/>
                <w:highlight w:val="none"/>
              </w:rPr>
            </w:pPr>
          </w:p>
        </w:tc>
        <w:tc>
          <w:tcPr>
            <w:tcW w:w="850" w:type="dxa"/>
          </w:tcPr>
          <w:p>
            <w:pPr>
              <w:spacing w:line="240" w:lineRule="auto"/>
              <w:rPr>
                <w:color w:val="auto"/>
                <w:sz w:val="24"/>
                <w:szCs w:val="24"/>
                <w:highlight w:val="none"/>
              </w:rPr>
            </w:pPr>
          </w:p>
        </w:tc>
        <w:tc>
          <w:tcPr>
            <w:tcW w:w="959" w:type="dxa"/>
          </w:tcPr>
          <w:p>
            <w:pPr>
              <w:spacing w:line="240" w:lineRule="auto"/>
              <w:rPr>
                <w:color w:val="auto"/>
                <w:sz w:val="24"/>
                <w:szCs w:val="24"/>
                <w:highlight w:val="none"/>
              </w:rPr>
            </w:pPr>
          </w:p>
        </w:tc>
        <w:tc>
          <w:tcPr>
            <w:tcW w:w="846" w:type="dxa"/>
          </w:tcPr>
          <w:p>
            <w:pPr>
              <w:spacing w:line="240" w:lineRule="auto"/>
              <w:rPr>
                <w:color w:val="auto"/>
                <w:sz w:val="24"/>
                <w:szCs w:val="24"/>
                <w:highlight w:val="none"/>
              </w:rPr>
            </w:pPr>
          </w:p>
        </w:tc>
        <w:tc>
          <w:tcPr>
            <w:tcW w:w="736" w:type="dxa"/>
          </w:tcPr>
          <w:p>
            <w:pPr>
              <w:spacing w:line="240" w:lineRule="auto"/>
              <w:rPr>
                <w:color w:val="auto"/>
                <w:sz w:val="24"/>
                <w:szCs w:val="24"/>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5" w:hRule="atLeast"/>
        </w:trPr>
        <w:tc>
          <w:tcPr>
            <w:tcW w:w="958" w:type="dxa"/>
            <w:vMerge w:val="continue"/>
            <w:tcBorders>
              <w:top w:val="nil"/>
              <w:bottom w:val="nil"/>
            </w:tcBorders>
          </w:tcPr>
          <w:p>
            <w:pPr>
              <w:spacing w:line="240" w:lineRule="auto"/>
              <w:rPr>
                <w:color w:val="auto"/>
                <w:sz w:val="24"/>
                <w:szCs w:val="24"/>
                <w:highlight w:val="none"/>
              </w:rPr>
            </w:pPr>
          </w:p>
        </w:tc>
        <w:tc>
          <w:tcPr>
            <w:tcW w:w="806" w:type="dxa"/>
          </w:tcPr>
          <w:p>
            <w:pPr>
              <w:spacing w:line="240" w:lineRule="auto"/>
              <w:rPr>
                <w:color w:val="auto"/>
                <w:sz w:val="24"/>
                <w:szCs w:val="24"/>
                <w:highlight w:val="none"/>
              </w:rPr>
            </w:pPr>
          </w:p>
        </w:tc>
        <w:tc>
          <w:tcPr>
            <w:tcW w:w="807" w:type="dxa"/>
          </w:tcPr>
          <w:p>
            <w:pPr>
              <w:spacing w:line="240" w:lineRule="auto"/>
              <w:rPr>
                <w:color w:val="auto"/>
                <w:sz w:val="24"/>
                <w:szCs w:val="24"/>
                <w:highlight w:val="none"/>
              </w:rPr>
            </w:pPr>
          </w:p>
        </w:tc>
        <w:tc>
          <w:tcPr>
            <w:tcW w:w="807" w:type="dxa"/>
          </w:tcPr>
          <w:p>
            <w:pPr>
              <w:spacing w:line="240" w:lineRule="auto"/>
              <w:rPr>
                <w:color w:val="auto"/>
                <w:sz w:val="24"/>
                <w:szCs w:val="24"/>
                <w:highlight w:val="none"/>
              </w:rPr>
            </w:pPr>
          </w:p>
        </w:tc>
        <w:tc>
          <w:tcPr>
            <w:tcW w:w="807" w:type="dxa"/>
          </w:tcPr>
          <w:p>
            <w:pPr>
              <w:spacing w:line="240" w:lineRule="auto"/>
              <w:rPr>
                <w:color w:val="auto"/>
                <w:sz w:val="24"/>
                <w:szCs w:val="24"/>
                <w:highlight w:val="none"/>
              </w:rPr>
            </w:pPr>
          </w:p>
        </w:tc>
        <w:tc>
          <w:tcPr>
            <w:tcW w:w="850" w:type="dxa"/>
          </w:tcPr>
          <w:p>
            <w:pPr>
              <w:spacing w:line="240" w:lineRule="auto"/>
              <w:rPr>
                <w:color w:val="auto"/>
                <w:sz w:val="24"/>
                <w:szCs w:val="24"/>
                <w:highlight w:val="none"/>
              </w:rPr>
            </w:pPr>
          </w:p>
        </w:tc>
        <w:tc>
          <w:tcPr>
            <w:tcW w:w="959" w:type="dxa"/>
          </w:tcPr>
          <w:p>
            <w:pPr>
              <w:spacing w:line="240" w:lineRule="auto"/>
              <w:rPr>
                <w:color w:val="auto"/>
                <w:sz w:val="24"/>
                <w:szCs w:val="24"/>
                <w:highlight w:val="none"/>
              </w:rPr>
            </w:pPr>
          </w:p>
        </w:tc>
        <w:tc>
          <w:tcPr>
            <w:tcW w:w="846" w:type="dxa"/>
          </w:tcPr>
          <w:p>
            <w:pPr>
              <w:spacing w:line="240" w:lineRule="auto"/>
              <w:rPr>
                <w:color w:val="auto"/>
                <w:sz w:val="24"/>
                <w:szCs w:val="24"/>
                <w:highlight w:val="none"/>
              </w:rPr>
            </w:pPr>
          </w:p>
        </w:tc>
        <w:tc>
          <w:tcPr>
            <w:tcW w:w="736" w:type="dxa"/>
          </w:tcPr>
          <w:p>
            <w:pPr>
              <w:spacing w:line="240" w:lineRule="auto"/>
              <w:rPr>
                <w:color w:val="auto"/>
                <w:sz w:val="24"/>
                <w:szCs w:val="24"/>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5" w:hRule="atLeast"/>
        </w:trPr>
        <w:tc>
          <w:tcPr>
            <w:tcW w:w="958" w:type="dxa"/>
            <w:vMerge w:val="continue"/>
            <w:tcBorders>
              <w:top w:val="nil"/>
            </w:tcBorders>
          </w:tcPr>
          <w:p>
            <w:pPr>
              <w:spacing w:line="240" w:lineRule="auto"/>
              <w:rPr>
                <w:color w:val="auto"/>
                <w:sz w:val="24"/>
                <w:szCs w:val="24"/>
                <w:highlight w:val="none"/>
              </w:rPr>
            </w:pPr>
          </w:p>
        </w:tc>
        <w:tc>
          <w:tcPr>
            <w:tcW w:w="806" w:type="dxa"/>
          </w:tcPr>
          <w:p>
            <w:pPr>
              <w:spacing w:line="240" w:lineRule="auto"/>
              <w:rPr>
                <w:color w:val="auto"/>
                <w:sz w:val="24"/>
                <w:szCs w:val="24"/>
                <w:highlight w:val="none"/>
              </w:rPr>
            </w:pPr>
          </w:p>
        </w:tc>
        <w:tc>
          <w:tcPr>
            <w:tcW w:w="807" w:type="dxa"/>
          </w:tcPr>
          <w:p>
            <w:pPr>
              <w:spacing w:line="240" w:lineRule="auto"/>
              <w:rPr>
                <w:color w:val="auto"/>
                <w:sz w:val="24"/>
                <w:szCs w:val="24"/>
                <w:highlight w:val="none"/>
              </w:rPr>
            </w:pPr>
          </w:p>
        </w:tc>
        <w:tc>
          <w:tcPr>
            <w:tcW w:w="807" w:type="dxa"/>
          </w:tcPr>
          <w:p>
            <w:pPr>
              <w:spacing w:line="240" w:lineRule="auto"/>
              <w:rPr>
                <w:color w:val="auto"/>
                <w:sz w:val="24"/>
                <w:szCs w:val="24"/>
                <w:highlight w:val="none"/>
              </w:rPr>
            </w:pPr>
          </w:p>
        </w:tc>
        <w:tc>
          <w:tcPr>
            <w:tcW w:w="807" w:type="dxa"/>
          </w:tcPr>
          <w:p>
            <w:pPr>
              <w:spacing w:line="240" w:lineRule="auto"/>
              <w:rPr>
                <w:color w:val="auto"/>
                <w:sz w:val="24"/>
                <w:szCs w:val="24"/>
                <w:highlight w:val="none"/>
              </w:rPr>
            </w:pPr>
          </w:p>
        </w:tc>
        <w:tc>
          <w:tcPr>
            <w:tcW w:w="850" w:type="dxa"/>
          </w:tcPr>
          <w:p>
            <w:pPr>
              <w:spacing w:line="240" w:lineRule="auto"/>
              <w:rPr>
                <w:color w:val="auto"/>
                <w:sz w:val="24"/>
                <w:szCs w:val="24"/>
                <w:highlight w:val="none"/>
              </w:rPr>
            </w:pPr>
          </w:p>
        </w:tc>
        <w:tc>
          <w:tcPr>
            <w:tcW w:w="959" w:type="dxa"/>
          </w:tcPr>
          <w:p>
            <w:pPr>
              <w:spacing w:line="240" w:lineRule="auto"/>
              <w:rPr>
                <w:color w:val="auto"/>
                <w:sz w:val="24"/>
                <w:szCs w:val="24"/>
                <w:highlight w:val="none"/>
              </w:rPr>
            </w:pPr>
          </w:p>
        </w:tc>
        <w:tc>
          <w:tcPr>
            <w:tcW w:w="846" w:type="dxa"/>
          </w:tcPr>
          <w:p>
            <w:pPr>
              <w:spacing w:line="240" w:lineRule="auto"/>
              <w:rPr>
                <w:color w:val="auto"/>
                <w:sz w:val="24"/>
                <w:szCs w:val="24"/>
                <w:highlight w:val="none"/>
              </w:rPr>
            </w:pPr>
          </w:p>
        </w:tc>
        <w:tc>
          <w:tcPr>
            <w:tcW w:w="736" w:type="dxa"/>
          </w:tcPr>
          <w:p>
            <w:pPr>
              <w:spacing w:line="240" w:lineRule="auto"/>
              <w:rPr>
                <w:color w:val="auto"/>
                <w:sz w:val="24"/>
                <w:szCs w:val="24"/>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6" w:hRule="atLeast"/>
        </w:trPr>
        <w:tc>
          <w:tcPr>
            <w:tcW w:w="958" w:type="dxa"/>
            <w:vMerge w:val="restart"/>
            <w:tcBorders>
              <w:bottom w:val="nil"/>
            </w:tcBorders>
          </w:tcPr>
          <w:p>
            <w:pPr>
              <w:spacing w:before="89" w:line="240" w:lineRule="auto"/>
              <w:ind w:left="118" w:right="125" w:hanging="1"/>
              <w:rPr>
                <w:rFonts w:ascii="宋体" w:hAnsi="宋体" w:eastAsia="宋体" w:cs="宋体"/>
                <w:color w:val="auto"/>
                <w:sz w:val="24"/>
                <w:szCs w:val="24"/>
                <w:highlight w:val="none"/>
              </w:rPr>
            </w:pPr>
            <w:r>
              <w:rPr>
                <w:rFonts w:ascii="宋体" w:hAnsi="宋体" w:eastAsia="宋体" w:cs="宋体"/>
                <w:color w:val="auto"/>
                <w:spacing w:val="7"/>
                <w:sz w:val="24"/>
                <w:szCs w:val="24"/>
                <w:highlight w:val="none"/>
              </w:rPr>
              <w:t>售后</w:t>
            </w:r>
            <w:r>
              <w:rPr>
                <w:rFonts w:ascii="宋体" w:hAnsi="宋体" w:eastAsia="宋体" w:cs="宋体"/>
                <w:color w:val="auto"/>
                <w:spacing w:val="6"/>
                <w:sz w:val="24"/>
                <w:szCs w:val="24"/>
                <w:highlight w:val="none"/>
              </w:rPr>
              <w:t>服务人员</w:t>
            </w:r>
          </w:p>
        </w:tc>
        <w:tc>
          <w:tcPr>
            <w:tcW w:w="806" w:type="dxa"/>
          </w:tcPr>
          <w:p>
            <w:pPr>
              <w:spacing w:line="240" w:lineRule="auto"/>
              <w:rPr>
                <w:color w:val="auto"/>
                <w:sz w:val="24"/>
                <w:szCs w:val="24"/>
                <w:highlight w:val="none"/>
              </w:rPr>
            </w:pPr>
          </w:p>
        </w:tc>
        <w:tc>
          <w:tcPr>
            <w:tcW w:w="807" w:type="dxa"/>
          </w:tcPr>
          <w:p>
            <w:pPr>
              <w:spacing w:line="240" w:lineRule="auto"/>
              <w:rPr>
                <w:color w:val="auto"/>
                <w:sz w:val="24"/>
                <w:szCs w:val="24"/>
                <w:highlight w:val="none"/>
              </w:rPr>
            </w:pPr>
          </w:p>
        </w:tc>
        <w:tc>
          <w:tcPr>
            <w:tcW w:w="807" w:type="dxa"/>
          </w:tcPr>
          <w:p>
            <w:pPr>
              <w:spacing w:line="240" w:lineRule="auto"/>
              <w:rPr>
                <w:color w:val="auto"/>
                <w:sz w:val="24"/>
                <w:szCs w:val="24"/>
                <w:highlight w:val="none"/>
              </w:rPr>
            </w:pPr>
          </w:p>
        </w:tc>
        <w:tc>
          <w:tcPr>
            <w:tcW w:w="807" w:type="dxa"/>
          </w:tcPr>
          <w:p>
            <w:pPr>
              <w:spacing w:line="240" w:lineRule="auto"/>
              <w:rPr>
                <w:color w:val="auto"/>
                <w:sz w:val="24"/>
                <w:szCs w:val="24"/>
                <w:highlight w:val="none"/>
              </w:rPr>
            </w:pPr>
          </w:p>
        </w:tc>
        <w:tc>
          <w:tcPr>
            <w:tcW w:w="850" w:type="dxa"/>
          </w:tcPr>
          <w:p>
            <w:pPr>
              <w:spacing w:line="240" w:lineRule="auto"/>
              <w:rPr>
                <w:color w:val="auto"/>
                <w:sz w:val="24"/>
                <w:szCs w:val="24"/>
                <w:highlight w:val="none"/>
              </w:rPr>
            </w:pPr>
          </w:p>
        </w:tc>
        <w:tc>
          <w:tcPr>
            <w:tcW w:w="959" w:type="dxa"/>
          </w:tcPr>
          <w:p>
            <w:pPr>
              <w:spacing w:line="240" w:lineRule="auto"/>
              <w:rPr>
                <w:color w:val="auto"/>
                <w:sz w:val="24"/>
                <w:szCs w:val="24"/>
                <w:highlight w:val="none"/>
              </w:rPr>
            </w:pPr>
          </w:p>
        </w:tc>
        <w:tc>
          <w:tcPr>
            <w:tcW w:w="846" w:type="dxa"/>
          </w:tcPr>
          <w:p>
            <w:pPr>
              <w:spacing w:line="240" w:lineRule="auto"/>
              <w:rPr>
                <w:color w:val="auto"/>
                <w:sz w:val="24"/>
                <w:szCs w:val="24"/>
                <w:highlight w:val="none"/>
              </w:rPr>
            </w:pPr>
          </w:p>
        </w:tc>
        <w:tc>
          <w:tcPr>
            <w:tcW w:w="736" w:type="dxa"/>
          </w:tcPr>
          <w:p>
            <w:pPr>
              <w:spacing w:line="240" w:lineRule="auto"/>
              <w:rPr>
                <w:color w:val="auto"/>
                <w:sz w:val="24"/>
                <w:szCs w:val="24"/>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trPr>
        <w:tc>
          <w:tcPr>
            <w:tcW w:w="958" w:type="dxa"/>
            <w:vMerge w:val="continue"/>
            <w:tcBorders>
              <w:top w:val="nil"/>
            </w:tcBorders>
          </w:tcPr>
          <w:p>
            <w:pPr>
              <w:spacing w:line="240" w:lineRule="auto"/>
              <w:rPr>
                <w:color w:val="auto"/>
                <w:sz w:val="24"/>
                <w:szCs w:val="24"/>
                <w:highlight w:val="none"/>
              </w:rPr>
            </w:pPr>
          </w:p>
        </w:tc>
        <w:tc>
          <w:tcPr>
            <w:tcW w:w="806" w:type="dxa"/>
          </w:tcPr>
          <w:p>
            <w:pPr>
              <w:spacing w:line="240" w:lineRule="auto"/>
              <w:rPr>
                <w:color w:val="auto"/>
                <w:sz w:val="24"/>
                <w:szCs w:val="24"/>
                <w:highlight w:val="none"/>
              </w:rPr>
            </w:pPr>
          </w:p>
        </w:tc>
        <w:tc>
          <w:tcPr>
            <w:tcW w:w="807" w:type="dxa"/>
          </w:tcPr>
          <w:p>
            <w:pPr>
              <w:spacing w:line="240" w:lineRule="auto"/>
              <w:rPr>
                <w:color w:val="auto"/>
                <w:sz w:val="24"/>
                <w:szCs w:val="24"/>
                <w:highlight w:val="none"/>
              </w:rPr>
            </w:pPr>
          </w:p>
        </w:tc>
        <w:tc>
          <w:tcPr>
            <w:tcW w:w="807" w:type="dxa"/>
          </w:tcPr>
          <w:p>
            <w:pPr>
              <w:spacing w:line="240" w:lineRule="auto"/>
              <w:rPr>
                <w:color w:val="auto"/>
                <w:sz w:val="24"/>
                <w:szCs w:val="24"/>
                <w:highlight w:val="none"/>
              </w:rPr>
            </w:pPr>
          </w:p>
        </w:tc>
        <w:tc>
          <w:tcPr>
            <w:tcW w:w="807" w:type="dxa"/>
          </w:tcPr>
          <w:p>
            <w:pPr>
              <w:spacing w:line="240" w:lineRule="auto"/>
              <w:rPr>
                <w:color w:val="auto"/>
                <w:sz w:val="24"/>
                <w:szCs w:val="24"/>
                <w:highlight w:val="none"/>
              </w:rPr>
            </w:pPr>
          </w:p>
        </w:tc>
        <w:tc>
          <w:tcPr>
            <w:tcW w:w="850" w:type="dxa"/>
          </w:tcPr>
          <w:p>
            <w:pPr>
              <w:spacing w:line="240" w:lineRule="auto"/>
              <w:rPr>
                <w:color w:val="auto"/>
                <w:sz w:val="24"/>
                <w:szCs w:val="24"/>
                <w:highlight w:val="none"/>
              </w:rPr>
            </w:pPr>
          </w:p>
        </w:tc>
        <w:tc>
          <w:tcPr>
            <w:tcW w:w="959" w:type="dxa"/>
          </w:tcPr>
          <w:p>
            <w:pPr>
              <w:spacing w:line="240" w:lineRule="auto"/>
              <w:rPr>
                <w:color w:val="auto"/>
                <w:sz w:val="24"/>
                <w:szCs w:val="24"/>
                <w:highlight w:val="none"/>
              </w:rPr>
            </w:pPr>
          </w:p>
        </w:tc>
        <w:tc>
          <w:tcPr>
            <w:tcW w:w="846" w:type="dxa"/>
          </w:tcPr>
          <w:p>
            <w:pPr>
              <w:spacing w:line="240" w:lineRule="auto"/>
              <w:rPr>
                <w:color w:val="auto"/>
                <w:sz w:val="24"/>
                <w:szCs w:val="24"/>
                <w:highlight w:val="none"/>
              </w:rPr>
            </w:pPr>
          </w:p>
        </w:tc>
        <w:tc>
          <w:tcPr>
            <w:tcW w:w="736" w:type="dxa"/>
          </w:tcPr>
          <w:p>
            <w:pPr>
              <w:spacing w:line="240" w:lineRule="auto"/>
              <w:rPr>
                <w:color w:val="auto"/>
                <w:sz w:val="24"/>
                <w:szCs w:val="24"/>
                <w:highlight w:val="none"/>
              </w:rPr>
            </w:pPr>
          </w:p>
        </w:tc>
      </w:tr>
    </w:tbl>
    <w:p>
      <w:pPr>
        <w:spacing w:line="240" w:lineRule="auto"/>
        <w:rPr>
          <w:color w:val="auto"/>
          <w:highlight w:val="none"/>
        </w:rPr>
      </w:pPr>
    </w:p>
    <w:p>
      <w:pPr>
        <w:spacing w:before="76" w:line="240" w:lineRule="auto"/>
        <w:ind w:left="494" w:right="589" w:firstLine="1"/>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投标人名称：</w:t>
      </w:r>
      <w:r>
        <w:rPr>
          <w:rFonts w:ascii="宋体" w:hAnsi="宋体" w:eastAsia="宋体" w:cs="宋体"/>
          <w:color w:val="auto"/>
          <w:spacing w:val="-1"/>
          <w:sz w:val="24"/>
          <w:szCs w:val="24"/>
          <w:highlight w:val="none"/>
          <w:u w:val="single"/>
        </w:rPr>
        <w:t xml:space="preserve">        </w:t>
      </w:r>
      <w:r>
        <w:rPr>
          <w:rFonts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(盖单位公章)</w:t>
      </w:r>
      <w:r>
        <w:rPr>
          <w:rFonts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rPr>
        <w:t xml:space="preserve"> </w:t>
      </w:r>
    </w:p>
    <w:p>
      <w:pPr>
        <w:spacing w:before="77" w:line="240" w:lineRule="auto"/>
        <w:ind w:left="494"/>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法定代表人/单位负责人或授权代表(签字或加盖个人名章) ：</w:t>
      </w:r>
      <w:r>
        <w:rPr>
          <w:rFonts w:ascii="宋体" w:hAnsi="宋体" w:eastAsia="宋体" w:cs="宋体"/>
          <w:color w:val="auto"/>
          <w:sz w:val="24"/>
          <w:szCs w:val="24"/>
          <w:highlight w:val="none"/>
          <w:u w:val="single"/>
        </w:rPr>
        <w:t xml:space="preserve">        </w:t>
      </w:r>
    </w:p>
    <w:p>
      <w:pPr>
        <w:spacing w:before="78" w:line="240" w:lineRule="auto"/>
        <w:ind w:left="535"/>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日    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pPr>
        <w:spacing w:line="240" w:lineRule="auto"/>
        <w:rPr>
          <w:color w:val="auto"/>
          <w:sz w:val="24"/>
          <w:szCs w:val="24"/>
          <w:highlight w:val="none"/>
        </w:rPr>
      </w:pPr>
    </w:p>
    <w:p>
      <w:pPr>
        <w:spacing w:line="240" w:lineRule="auto"/>
        <w:ind w:right="13"/>
        <w:rPr>
          <w:rFonts w:ascii="宋体" w:hAnsi="宋体" w:eastAsia="宋体" w:cs="宋体"/>
          <w:b/>
          <w:bCs/>
          <w:color w:val="auto"/>
          <w:spacing w:val="6"/>
          <w:sz w:val="23"/>
          <w:szCs w:val="23"/>
          <w:highlight w:val="none"/>
        </w:rPr>
      </w:pPr>
      <w:r>
        <w:rPr>
          <w:rFonts w:hint="eastAsia" w:ascii="宋体" w:hAnsi="宋体" w:eastAsia="宋体" w:cs="宋体"/>
          <w:b/>
          <w:bCs/>
          <w:color w:val="auto"/>
          <w:spacing w:val="6"/>
          <w:sz w:val="24"/>
          <w:szCs w:val="24"/>
          <w:highlight w:val="none"/>
        </w:rPr>
        <w:t>注：此表填写的管理人员将作为判定(财政部令第87号) 第三十七条依据。</w:t>
      </w:r>
    </w:p>
    <w:p>
      <w:pPr>
        <w:spacing w:line="240" w:lineRule="auto"/>
        <w:rPr>
          <w:color w:val="auto"/>
          <w:highlight w:val="none"/>
        </w:rPr>
      </w:pPr>
    </w:p>
    <w:p>
      <w:pPr>
        <w:spacing w:line="240" w:lineRule="auto"/>
        <w:rPr>
          <w:color w:val="auto"/>
          <w:highlight w:val="none"/>
        </w:rPr>
      </w:pPr>
    </w:p>
    <w:p>
      <w:pPr>
        <w:spacing w:line="240" w:lineRule="auto"/>
        <w:rPr>
          <w:color w:val="auto"/>
          <w:highlight w:val="none"/>
        </w:rPr>
      </w:pPr>
    </w:p>
    <w:p>
      <w:pPr>
        <w:spacing w:line="240" w:lineRule="auto"/>
        <w:rPr>
          <w:color w:val="auto"/>
          <w:highlight w:val="none"/>
        </w:rPr>
      </w:pPr>
    </w:p>
    <w:p>
      <w:pPr>
        <w:spacing w:line="240" w:lineRule="auto"/>
        <w:rPr>
          <w:color w:val="auto"/>
          <w:highlight w:val="none"/>
        </w:rPr>
      </w:pPr>
    </w:p>
    <w:p>
      <w:pPr>
        <w:spacing w:line="240" w:lineRule="auto"/>
        <w:rPr>
          <w:color w:val="auto"/>
          <w:highlight w:val="none"/>
        </w:rPr>
      </w:pPr>
    </w:p>
    <w:p>
      <w:pPr>
        <w:spacing w:line="240" w:lineRule="auto"/>
        <w:rPr>
          <w:color w:val="auto"/>
          <w:highlight w:val="none"/>
        </w:rPr>
      </w:pPr>
    </w:p>
    <w:p>
      <w:pPr>
        <w:spacing w:line="240" w:lineRule="auto"/>
        <w:rPr>
          <w:color w:val="auto"/>
          <w:highlight w:val="none"/>
        </w:rPr>
      </w:pPr>
    </w:p>
    <w:p>
      <w:pPr>
        <w:spacing w:line="240" w:lineRule="auto"/>
        <w:rPr>
          <w:color w:val="auto"/>
          <w:highlight w:val="none"/>
        </w:rPr>
      </w:pPr>
    </w:p>
    <w:p>
      <w:pPr>
        <w:spacing w:line="240" w:lineRule="auto"/>
        <w:rPr>
          <w:color w:val="auto"/>
          <w:highlight w:val="none"/>
        </w:rPr>
      </w:pPr>
    </w:p>
    <w:p>
      <w:pPr>
        <w:spacing w:line="240" w:lineRule="auto"/>
        <w:rPr>
          <w:color w:val="auto"/>
          <w:highlight w:val="none"/>
        </w:rPr>
      </w:pPr>
    </w:p>
    <w:p>
      <w:pPr>
        <w:spacing w:line="240" w:lineRule="auto"/>
        <w:rPr>
          <w:color w:val="auto"/>
          <w:highlight w:val="none"/>
        </w:rPr>
      </w:pPr>
    </w:p>
    <w:p>
      <w:pPr>
        <w:spacing w:line="240" w:lineRule="auto"/>
        <w:rPr>
          <w:color w:val="auto"/>
          <w:highlight w:val="none"/>
        </w:rPr>
      </w:pPr>
    </w:p>
    <w:p>
      <w:pPr>
        <w:spacing w:line="240" w:lineRule="auto"/>
        <w:rPr>
          <w:color w:val="auto"/>
          <w:highlight w:val="none"/>
        </w:rPr>
      </w:pPr>
    </w:p>
    <w:p>
      <w:pPr>
        <w:spacing w:line="240" w:lineRule="auto"/>
        <w:rPr>
          <w:color w:val="auto"/>
          <w:highlight w:val="none"/>
        </w:rPr>
      </w:pPr>
    </w:p>
    <w:p>
      <w:pPr>
        <w:spacing w:line="240" w:lineRule="auto"/>
        <w:rPr>
          <w:color w:val="auto"/>
          <w:highlight w:val="none"/>
        </w:rPr>
      </w:pPr>
    </w:p>
    <w:p>
      <w:pPr>
        <w:spacing w:line="240" w:lineRule="auto"/>
        <w:rPr>
          <w:color w:val="auto"/>
          <w:highlight w:val="none"/>
        </w:rPr>
        <w:sectPr>
          <w:headerReference r:id="rId33" w:type="default"/>
          <w:footerReference r:id="rId34" w:type="default"/>
          <w:pgSz w:w="11905" w:h="16838"/>
          <w:pgMar w:top="1417" w:right="1417" w:bottom="1417" w:left="1417" w:header="0" w:footer="1134" w:gutter="0"/>
          <w:cols w:space="0" w:num="1"/>
        </w:sectPr>
      </w:pPr>
    </w:p>
    <w:p>
      <w:pPr>
        <w:spacing w:before="3" w:line="240" w:lineRule="auto"/>
        <w:ind w:right="13"/>
        <w:jc w:val="both"/>
        <w:rPr>
          <w:rFonts w:ascii="宋体" w:hAnsi="宋体" w:eastAsia="宋体" w:cs="宋体"/>
          <w:b/>
          <w:bCs/>
          <w:color w:val="auto"/>
          <w:sz w:val="32"/>
          <w:szCs w:val="32"/>
          <w:highlight w:val="none"/>
        </w:rPr>
      </w:pPr>
    </w:p>
    <w:p>
      <w:pPr>
        <w:spacing w:before="3" w:line="240" w:lineRule="auto"/>
        <w:ind w:right="13"/>
        <w:jc w:val="center"/>
        <w:outlineLvl w:val="9"/>
        <w:rPr>
          <w:rFonts w:ascii="宋体" w:hAnsi="宋体" w:eastAsia="宋体" w:cs="宋体"/>
          <w:b/>
          <w:bCs/>
          <w:color w:val="auto"/>
          <w:sz w:val="32"/>
          <w:szCs w:val="32"/>
          <w:highlight w:val="none"/>
        </w:rPr>
      </w:pPr>
      <w:bookmarkStart w:id="148" w:name="_Toc20221"/>
      <w:bookmarkStart w:id="149" w:name="_Toc24427"/>
      <w:r>
        <w:rPr>
          <w:rFonts w:hint="eastAsia" w:ascii="宋体" w:hAnsi="宋体" w:eastAsia="宋体" w:cs="宋体"/>
          <w:b/>
          <w:bCs/>
          <w:color w:val="auto"/>
          <w:sz w:val="32"/>
          <w:szCs w:val="32"/>
          <w:highlight w:val="none"/>
          <w:lang w:eastAsia="zh-CN"/>
        </w:rPr>
        <w:t>九</w:t>
      </w:r>
      <w:r>
        <w:rPr>
          <w:rFonts w:hint="eastAsia" w:ascii="宋体" w:hAnsi="宋体" w:eastAsia="宋体" w:cs="宋体"/>
          <w:b/>
          <w:bCs/>
          <w:color w:val="auto"/>
          <w:sz w:val="32"/>
          <w:szCs w:val="32"/>
          <w:highlight w:val="none"/>
        </w:rPr>
        <w:t>、承诺函(实质性要求)</w:t>
      </w:r>
      <w:bookmarkEnd w:id="148"/>
      <w:bookmarkEnd w:id="149"/>
    </w:p>
    <w:p>
      <w:pPr>
        <w:tabs>
          <w:tab w:val="left" w:pos="1948"/>
        </w:tabs>
        <w:spacing w:before="176" w:line="240" w:lineRule="auto"/>
        <w:ind w:left="14"/>
        <w:rPr>
          <w:rFonts w:ascii="宋体" w:hAnsi="宋体" w:eastAsia="宋体" w:cs="宋体"/>
          <w:color w:val="auto"/>
          <w:sz w:val="23"/>
          <w:szCs w:val="23"/>
          <w:highlight w:val="none"/>
          <w:u w:val="single"/>
        </w:rPr>
      </w:pPr>
    </w:p>
    <w:p>
      <w:pPr>
        <w:tabs>
          <w:tab w:val="left" w:pos="1948"/>
        </w:tabs>
        <w:spacing w:before="176" w:line="240" w:lineRule="auto"/>
        <w:ind w:left="14"/>
        <w:rPr>
          <w:rFonts w:ascii="宋体" w:hAnsi="宋体" w:eastAsia="宋体" w:cs="宋体"/>
          <w:color w:val="auto"/>
          <w:sz w:val="24"/>
          <w:szCs w:val="24"/>
          <w:highlight w:val="none"/>
        </w:rPr>
      </w:pPr>
      <w:r>
        <w:rPr>
          <w:rFonts w:ascii="宋体" w:hAnsi="宋体" w:eastAsia="宋体" w:cs="宋体"/>
          <w:color w:val="auto"/>
          <w:sz w:val="24"/>
          <w:szCs w:val="24"/>
          <w:highlight w:val="none"/>
          <w:u w:val="single"/>
        </w:rPr>
        <w:tab/>
      </w:r>
      <w:r>
        <w:rPr>
          <w:rFonts w:hint="eastAsia" w:ascii="宋体" w:hAnsi="宋体" w:eastAsia="宋体" w:cs="宋体"/>
          <w:color w:val="auto"/>
          <w:spacing w:val="6"/>
          <w:sz w:val="24"/>
          <w:szCs w:val="24"/>
          <w:highlight w:val="none"/>
        </w:rPr>
        <w:t>(招标代理机构名称)：</w:t>
      </w:r>
    </w:p>
    <w:p>
      <w:pPr>
        <w:spacing w:line="240" w:lineRule="auto"/>
        <w:rPr>
          <w:color w:val="auto"/>
          <w:sz w:val="24"/>
          <w:szCs w:val="24"/>
          <w:highlight w:val="none"/>
        </w:rPr>
      </w:pPr>
    </w:p>
    <w:p>
      <w:pPr>
        <w:spacing w:line="240" w:lineRule="auto"/>
        <w:ind w:left="24" w:right="13" w:firstLine="471"/>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我单位作为本次采购项目的投标人，根据招标文件要求，现郑重承诺如下：</w:t>
      </w:r>
    </w:p>
    <w:p>
      <w:pPr>
        <w:spacing w:line="240" w:lineRule="auto"/>
        <w:ind w:left="24" w:right="13" w:firstLine="471"/>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一、我方已认真阅读并接受本项目招标文件第二章的全部实质性要求，如对招标文件有异议，已依法进行维权救济，不存在对招标文件有异议的同时又参加投标以求侥幸中标或者为实现其他非法目的的行为。</w:t>
      </w:r>
    </w:p>
    <w:p>
      <w:pPr>
        <w:spacing w:line="240" w:lineRule="auto"/>
        <w:ind w:left="24" w:right="13" w:firstLine="471"/>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二、参加本次招标采购活动，不存在与单位负责人为同一人或者存在直接控股、管理关系的其他供应商参与同一合同项下的采购活动的行为。</w:t>
      </w:r>
    </w:p>
    <w:p>
      <w:pPr>
        <w:spacing w:line="240" w:lineRule="auto"/>
        <w:ind w:left="24" w:right="13" w:firstLine="471"/>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三、参加本次招标采购活动，不存在和其他供应商在同一合同项下的采购项目中，同时委托同一个自然人、同一家庭的人员、同一单位的人员作为代理人的行为。</w:t>
      </w:r>
    </w:p>
    <w:p>
      <w:pPr>
        <w:spacing w:line="240" w:lineRule="auto"/>
        <w:ind w:left="24" w:right="13" w:firstLine="471"/>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四、为采购项目提供整体设计、规范编制或者项目管理、监理、检测等服务的供应商，不得再参加该采购项目的其他采购活动，我单位承诺不属于此类禁止参加本项目的供应商。</w:t>
      </w:r>
    </w:p>
    <w:p>
      <w:pPr>
        <w:spacing w:line="240" w:lineRule="auto"/>
        <w:ind w:left="24" w:right="13" w:firstLine="471"/>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五、投标文件中提供的能够给予我公司带来优惠、好处的任何材料资料和技术、服务、商务等响应承诺情况都是真实的、有效的、合法的。</w:t>
      </w:r>
    </w:p>
    <w:p>
      <w:pPr>
        <w:spacing w:line="240" w:lineRule="auto"/>
        <w:ind w:left="24" w:right="13" w:firstLine="471"/>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六、如本项目评标过程中需要提供样品，则我公司提供的样品即为中标后将要提供的中标产品，我公司对提供样品的性能和质量负责，因样品存在缺陷或者不符合招标文件要求导致未能中标的，我公司愿意承担相应不利后果。</w:t>
      </w:r>
    </w:p>
    <w:p>
      <w:pPr>
        <w:spacing w:line="240" w:lineRule="auto"/>
        <w:ind w:left="24" w:right="13" w:firstLine="471"/>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七、参加本次招标采购活动，我方完全同意招标文件第二章关于“投标费用”、“合同分包”、“合同转包”、“履约保证金”的实质性要求，并承诺严格按照招标文件要求履行。</w:t>
      </w:r>
    </w:p>
    <w:p>
      <w:pPr>
        <w:spacing w:line="240" w:lineRule="auto"/>
        <w:ind w:left="24" w:right="13" w:firstLine="471"/>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八、我方保证在本项目使用的任何产品和服务（包括部分使用）时，不会产生因第三方提出侵犯其专利权、商标权或其它知识产权而引起的法律和经济纠纷，如因专利权、商标权或其它知识产权而引起法律和经济纠纷，由我方承担所有相关责任。招标人享有本项目实施过程中产生的知识成果及知识产权。如我方在项目实施过程中采用自有知识成果，我方承诺提供开发接口和开发手册等技术文档，并提供无限期技术支持，招标人享有永久使用权（含招标人委托第三方在该项目后续开发的使用权）。如我方在项目实施过程中采用非自有的知识产权，则在投标报价中已包括合法获取该知识产权的相关费用。</w:t>
      </w:r>
    </w:p>
    <w:p>
      <w:pPr>
        <w:spacing w:line="240" w:lineRule="auto"/>
        <w:ind w:left="24" w:right="13" w:firstLine="471"/>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九、本次投标报价是响应招标项目要求的全部工作内容的价格体现，包括完成本项目所需的一切费用。</w:t>
      </w:r>
    </w:p>
    <w:p>
      <w:pPr>
        <w:spacing w:line="240" w:lineRule="auto"/>
        <w:ind w:left="24" w:right="13" w:firstLine="471"/>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我方对上述承诺的内容事项真实性负责。如经查实上述承诺的内容事项存在虚假，我方愿意接受以提供虚假材料谋取中标追究法律责任。</w:t>
      </w:r>
    </w:p>
    <w:p>
      <w:pPr>
        <w:spacing w:before="76" w:line="240" w:lineRule="auto"/>
        <w:ind w:left="494" w:right="589" w:firstLine="1"/>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投标人名称：</w:t>
      </w:r>
      <w:r>
        <w:rPr>
          <w:rFonts w:ascii="宋体" w:hAnsi="宋体" w:eastAsia="宋体" w:cs="宋体"/>
          <w:color w:val="auto"/>
          <w:spacing w:val="-1"/>
          <w:sz w:val="24"/>
          <w:szCs w:val="24"/>
          <w:highlight w:val="none"/>
          <w:u w:val="single"/>
        </w:rPr>
        <w:t xml:space="preserve">        </w:t>
      </w:r>
      <w:r>
        <w:rPr>
          <w:rFonts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(盖单位公章)</w:t>
      </w:r>
      <w:r>
        <w:rPr>
          <w:rFonts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rPr>
        <w:t xml:space="preserve"> </w:t>
      </w:r>
    </w:p>
    <w:p>
      <w:pPr>
        <w:spacing w:before="77" w:line="240" w:lineRule="auto"/>
        <w:ind w:left="494"/>
        <w:rPr>
          <w:rFonts w:ascii="宋体" w:hAnsi="宋体" w:eastAsia="宋体" w:cs="宋体"/>
          <w:color w:val="auto"/>
          <w:sz w:val="23"/>
          <w:szCs w:val="23"/>
          <w:highlight w:val="none"/>
        </w:rPr>
      </w:pPr>
      <w:r>
        <w:rPr>
          <w:rFonts w:hint="eastAsia" w:ascii="宋体" w:hAnsi="宋体" w:eastAsia="宋体" w:cs="宋体"/>
          <w:color w:val="auto"/>
          <w:sz w:val="24"/>
          <w:szCs w:val="24"/>
          <w:highlight w:val="none"/>
        </w:rPr>
        <w:t>法定代表人/单位负责人或授权代表(签字或加盖个人名章) ：</w:t>
      </w:r>
      <w:r>
        <w:rPr>
          <w:rFonts w:ascii="宋体" w:hAnsi="宋体" w:eastAsia="宋体" w:cs="宋体"/>
          <w:color w:val="auto"/>
          <w:sz w:val="24"/>
          <w:szCs w:val="24"/>
          <w:highlight w:val="none"/>
          <w:u w:val="single"/>
        </w:rPr>
        <w:t xml:space="preserve">        </w:t>
      </w:r>
    </w:p>
    <w:p>
      <w:pPr>
        <w:spacing w:before="78" w:line="240" w:lineRule="auto"/>
        <w:ind w:left="535"/>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日    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pPr>
        <w:spacing w:line="240" w:lineRule="auto"/>
        <w:rPr>
          <w:color w:val="auto"/>
          <w:highlight w:val="none"/>
        </w:rPr>
        <w:sectPr>
          <w:headerReference r:id="rId35" w:type="default"/>
          <w:footerReference r:id="rId36" w:type="default"/>
          <w:pgSz w:w="11905" w:h="16838"/>
          <w:pgMar w:top="1417" w:right="1417" w:bottom="1417" w:left="1417" w:header="0" w:footer="1134" w:gutter="0"/>
          <w:cols w:space="0" w:num="1"/>
        </w:sectPr>
      </w:pPr>
    </w:p>
    <w:p>
      <w:pPr>
        <w:spacing w:before="114" w:line="240" w:lineRule="auto"/>
        <w:jc w:val="center"/>
        <w:outlineLvl w:val="0"/>
        <w:rPr>
          <w:rFonts w:ascii="宋体" w:hAnsi="宋体" w:eastAsia="宋体" w:cs="宋体"/>
          <w:color w:val="auto"/>
          <w:spacing w:val="11"/>
          <w:sz w:val="36"/>
          <w:szCs w:val="36"/>
          <w:highlight w:val="none"/>
          <w14:textOutline w14:w="6540" w14:cap="sq" w14:cmpd="sng" w14:algn="ctr">
            <w14:solidFill>
              <w14:srgbClr w14:val="000000"/>
            </w14:solidFill>
            <w14:prstDash w14:val="solid"/>
            <w14:bevel/>
          </w14:textOutline>
        </w:rPr>
      </w:pPr>
      <w:bookmarkStart w:id="150" w:name="_Toc1869"/>
      <w:r>
        <w:rPr>
          <w:rFonts w:hint="eastAsia" w:ascii="宋体" w:hAnsi="宋体" w:eastAsia="宋体" w:cs="宋体"/>
          <w:color w:val="auto"/>
          <w:spacing w:val="11"/>
          <w:sz w:val="36"/>
          <w:szCs w:val="36"/>
          <w:highlight w:val="none"/>
          <w14:textOutline w14:w="6540" w14:cap="sq" w14:cmpd="sng" w14:algn="ctr">
            <w14:solidFill>
              <w14:srgbClr w14:val="000000"/>
            </w14:solidFill>
            <w14:prstDash w14:val="solid"/>
            <w14:bevel/>
          </w14:textOutline>
        </w:rPr>
        <w:t>第四章 投标人和投标产品的资格、资质性及其他类似效力要求</w:t>
      </w:r>
      <w:bookmarkEnd w:id="150"/>
    </w:p>
    <w:p>
      <w:pPr>
        <w:spacing w:line="240" w:lineRule="auto"/>
        <w:rPr>
          <w:rFonts w:ascii="宋体" w:hAnsi="宋体" w:eastAsia="宋体" w:cs="宋体"/>
          <w:b/>
          <w:bCs/>
          <w:color w:val="auto"/>
          <w:sz w:val="24"/>
          <w:szCs w:val="24"/>
          <w:highlight w:val="none"/>
        </w:rPr>
      </w:pPr>
      <w:bookmarkStart w:id="151" w:name="_Toc9678"/>
      <w:bookmarkStart w:id="152" w:name="_Toc12309"/>
      <w:r>
        <w:rPr>
          <w:rFonts w:hint="eastAsia" w:ascii="宋体" w:hAnsi="宋体" w:eastAsia="宋体" w:cs="宋体"/>
          <w:b/>
          <w:bCs/>
          <w:color w:val="auto"/>
          <w:sz w:val="24"/>
          <w:szCs w:val="24"/>
          <w:highlight w:val="none"/>
        </w:rPr>
        <w:t>一、参加投标的供应商应具备下列资格条件：</w:t>
      </w:r>
      <w:bookmarkEnd w:id="151"/>
      <w:bookmarkEnd w:id="152"/>
    </w:p>
    <w:p>
      <w:pPr>
        <w:spacing w:line="240" w:lineRule="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 满足《中华人民共和国政府采购法》第二十二条规定的条件：</w:t>
      </w:r>
    </w:p>
    <w:p>
      <w:pPr>
        <w:spacing w:line="240" w:lineRule="auto"/>
        <w:ind w:left="588"/>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1、具有独立承担民事责任的能力；</w:t>
      </w:r>
    </w:p>
    <w:p>
      <w:pPr>
        <w:spacing w:line="240" w:lineRule="auto"/>
        <w:ind w:left="588"/>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2、具有良好的商业信誉和健全的财务会计制度；</w:t>
      </w:r>
    </w:p>
    <w:p>
      <w:pPr>
        <w:spacing w:line="240" w:lineRule="auto"/>
        <w:ind w:left="588"/>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3、具有履行合同所必需的设备和专业技术能力；</w:t>
      </w:r>
    </w:p>
    <w:p>
      <w:pPr>
        <w:spacing w:line="240" w:lineRule="auto"/>
        <w:ind w:left="588"/>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4、有依法缴纳税收和社会保障资金的良好记录；</w:t>
      </w:r>
    </w:p>
    <w:p>
      <w:pPr>
        <w:spacing w:line="240" w:lineRule="auto"/>
        <w:ind w:left="588"/>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5、参加本次采购活动前三年内，在经营活动中没有重大违法记录；(公司成立不足三年的从成立之日起算)</w:t>
      </w:r>
    </w:p>
    <w:p>
      <w:pPr>
        <w:spacing w:line="240" w:lineRule="auto"/>
        <w:ind w:left="588"/>
        <w:outlineLvl w:val="9"/>
        <w:rPr>
          <w:rFonts w:ascii="宋体" w:hAnsi="宋体" w:eastAsia="宋体" w:cs="宋体"/>
          <w:color w:val="auto"/>
          <w:spacing w:val="6"/>
          <w:sz w:val="24"/>
          <w:szCs w:val="24"/>
          <w:highlight w:val="none"/>
        </w:rPr>
      </w:pPr>
      <w:bookmarkStart w:id="153" w:name="_Toc2903"/>
      <w:bookmarkStart w:id="154" w:name="_Toc5128"/>
      <w:r>
        <w:rPr>
          <w:rFonts w:hint="eastAsia" w:ascii="宋体" w:hAnsi="宋体" w:eastAsia="宋体" w:cs="宋体"/>
          <w:color w:val="auto"/>
          <w:spacing w:val="6"/>
          <w:sz w:val="24"/>
          <w:szCs w:val="24"/>
          <w:highlight w:val="none"/>
        </w:rPr>
        <w:t>6、具备法律、行政法规规定的其他条件。</w:t>
      </w:r>
      <w:bookmarkEnd w:id="153"/>
      <w:bookmarkEnd w:id="154"/>
    </w:p>
    <w:p>
      <w:pPr>
        <w:spacing w:line="240" w:lineRule="auto"/>
        <w:rPr>
          <w:rFonts w:ascii="宋体" w:hAnsi="宋体" w:eastAsia="宋体" w:cs="宋体"/>
          <w:b/>
          <w:bCs/>
          <w:color w:val="auto"/>
          <w:sz w:val="24"/>
          <w:szCs w:val="24"/>
          <w:highlight w:val="none"/>
        </w:rPr>
      </w:pPr>
      <w:r>
        <w:rPr>
          <w:rFonts w:hint="eastAsia" w:ascii="宋体" w:hAnsi="宋体" w:eastAsia="宋体" w:cs="宋体"/>
          <w:color w:val="auto"/>
          <w:spacing w:val="6"/>
          <w:sz w:val="24"/>
          <w:szCs w:val="24"/>
          <w:highlight w:val="none"/>
        </w:rPr>
        <w:t>(二) 本项目不接受联合体投标。</w:t>
      </w:r>
    </w:p>
    <w:p>
      <w:pPr>
        <w:spacing w:line="240" w:lineRule="auto"/>
        <w:rPr>
          <w:rFonts w:ascii="宋体" w:hAnsi="宋体" w:eastAsia="宋体" w:cs="宋体"/>
          <w:b/>
          <w:bCs/>
          <w:color w:val="auto"/>
          <w:sz w:val="24"/>
          <w:szCs w:val="24"/>
          <w:highlight w:val="none"/>
        </w:rPr>
      </w:pPr>
      <w:r>
        <w:rPr>
          <w:rFonts w:hint="eastAsia" w:ascii="宋体" w:hAnsi="宋体" w:eastAsia="宋体" w:cs="宋体"/>
          <w:color w:val="auto"/>
          <w:spacing w:val="6"/>
          <w:sz w:val="24"/>
          <w:szCs w:val="24"/>
          <w:highlight w:val="none"/>
        </w:rPr>
        <w:t>(</w:t>
      </w:r>
      <w:r>
        <w:rPr>
          <w:rFonts w:hint="eastAsia" w:ascii="宋体" w:hAnsi="宋体" w:eastAsia="宋体" w:cs="宋体"/>
          <w:color w:val="auto"/>
          <w:spacing w:val="6"/>
          <w:sz w:val="24"/>
          <w:szCs w:val="24"/>
          <w:highlight w:val="none"/>
          <w:lang w:eastAsia="zh-CN"/>
        </w:rPr>
        <w:t>三</w:t>
      </w:r>
      <w:r>
        <w:rPr>
          <w:rFonts w:hint="eastAsia" w:ascii="宋体" w:hAnsi="宋体" w:eastAsia="宋体" w:cs="宋体"/>
          <w:color w:val="auto"/>
          <w:spacing w:val="6"/>
          <w:sz w:val="24"/>
          <w:szCs w:val="24"/>
          <w:highlight w:val="none"/>
        </w:rPr>
        <w:t xml:space="preserve">) </w:t>
      </w:r>
      <w:r>
        <w:rPr>
          <w:rFonts w:hint="eastAsia" w:ascii="宋体" w:hAnsi="宋体" w:eastAsia="宋体" w:cs="宋体"/>
          <w:b/>
          <w:bCs/>
          <w:color w:val="auto"/>
          <w:sz w:val="24"/>
          <w:szCs w:val="24"/>
          <w:highlight w:val="none"/>
        </w:rPr>
        <w:t>其他类似效力要求：</w:t>
      </w:r>
    </w:p>
    <w:p>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1、</w:t>
      </w:r>
      <w:r>
        <w:rPr>
          <w:rFonts w:hint="eastAsia" w:ascii="宋体" w:hAnsi="宋体" w:eastAsia="宋体" w:cs="宋体"/>
          <w:color w:val="auto"/>
          <w:spacing w:val="6"/>
          <w:sz w:val="24"/>
          <w:szCs w:val="24"/>
          <w:highlight w:val="none"/>
          <w:lang w:val="en-US" w:eastAsia="zh-CN"/>
        </w:rPr>
        <w:t>参照</w:t>
      </w:r>
      <w:r>
        <w:rPr>
          <w:rFonts w:hint="eastAsia" w:ascii="宋体" w:hAnsi="宋体" w:eastAsia="宋体" w:cs="宋体"/>
          <w:color w:val="auto"/>
          <w:spacing w:val="6"/>
          <w:sz w:val="24"/>
          <w:szCs w:val="24"/>
          <w:highlight w:val="none"/>
        </w:rPr>
        <w:t>《关于在政府采购活动中查询及使用信用记录有关问题的通知》(财库〔2016〕125号)的要求，拒绝列入失信被执行人名单、重大税收违法案件当事人名单、政府采购严重违法失信行为记录名单中的供应商参加本项目的采购活动；</w:t>
      </w:r>
    </w:p>
    <w:p>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lang w:val="en-US" w:eastAsia="zh-CN"/>
        </w:rPr>
        <w:t>2</w:t>
      </w:r>
      <w:r>
        <w:rPr>
          <w:rFonts w:hint="eastAsia" w:ascii="宋体" w:hAnsi="宋体" w:eastAsia="宋体" w:cs="宋体"/>
          <w:color w:val="auto"/>
          <w:spacing w:val="6"/>
          <w:sz w:val="24"/>
          <w:szCs w:val="24"/>
          <w:highlight w:val="none"/>
        </w:rPr>
        <w:t>、授权参加本次采购活动的投标人代表证明材料；</w:t>
      </w:r>
    </w:p>
    <w:p>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lang w:val="en-US" w:eastAsia="zh-CN"/>
        </w:rPr>
        <w:t>3</w:t>
      </w:r>
      <w:r>
        <w:rPr>
          <w:rFonts w:hint="eastAsia" w:ascii="宋体" w:hAnsi="宋体" w:eastAsia="宋体" w:cs="宋体"/>
          <w:color w:val="auto"/>
          <w:spacing w:val="6"/>
          <w:sz w:val="24"/>
          <w:szCs w:val="24"/>
          <w:highlight w:val="none"/>
        </w:rPr>
        <w:t>、按照本项目招标文件的规定获取了招标文件。</w:t>
      </w:r>
    </w:p>
    <w:p>
      <w:pPr>
        <w:spacing w:line="240" w:lineRule="auto"/>
        <w:rPr>
          <w:rFonts w:ascii="宋体" w:hAnsi="宋体" w:eastAsia="宋体" w:cs="宋体"/>
          <w:b/>
          <w:bCs/>
          <w:color w:val="auto"/>
          <w:sz w:val="24"/>
          <w:szCs w:val="24"/>
          <w:highlight w:val="none"/>
        </w:rPr>
      </w:pPr>
    </w:p>
    <w:p>
      <w:pPr>
        <w:spacing w:line="240" w:lineRule="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注：1、本章资格要求第 (5款) 中“参加本次采购活动前三年内，在经营活动中没有重大违法记录”中的重大违法记录是指：投标人因违法经营 受到刑事处罚或者责令停产停业、吊销许可证或者执照、较大数额罚款等行政处罚，其中较大数额罚款的具体金额标准以财库〔2022〕3 号文为准，即：认定为200万元以上的罚款，法律、行政法规以及国务院有关部门明确规定相关 领域“较大数额罚款”标准高于200万元的，从其规定。</w:t>
      </w:r>
    </w:p>
    <w:p>
      <w:pPr>
        <w:spacing w:line="240" w:lineRule="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2、供应商在参加采购活动前，被纳入法院、工商行政管理部门、税务部门、银行认定的失信名单且在有效期内，或者在前三年采购合同履约过程中及其他经营活动履约过程中未依法履约被有关行政部门处罚 (处理)的，本项目不认定其具有良好的商业信誉。</w:t>
      </w:r>
    </w:p>
    <w:p>
      <w:pPr>
        <w:spacing w:line="240" w:lineRule="auto"/>
        <w:rPr>
          <w:rFonts w:ascii="宋体" w:hAnsi="宋体" w:eastAsia="宋体" w:cs="宋体"/>
          <w:b/>
          <w:bCs/>
          <w:color w:val="auto"/>
          <w:sz w:val="23"/>
          <w:szCs w:val="23"/>
          <w:highlight w:val="none"/>
        </w:rPr>
      </w:pPr>
      <w:r>
        <w:rPr>
          <w:rFonts w:ascii="宋体" w:hAnsi="宋体" w:eastAsia="宋体" w:cs="宋体"/>
          <w:b/>
          <w:bCs/>
          <w:color w:val="auto"/>
          <w:sz w:val="24"/>
          <w:szCs w:val="24"/>
          <w:highlight w:val="none"/>
        </w:rPr>
        <w:pict>
          <v:shape id="_x0000_s2057" o:spid="_x0000_s2057" o:spt="202" type="#_x0000_t202" style="position:absolute;left:0pt;margin-left:288.1pt;margin-top:772.25pt;height:10.05pt;width:21.1pt;mso-position-horizontal-relative:page;mso-position-vertical-relative:page;z-index:251670528;mso-width-relative:page;mso-height-relative:page;" filled="f" stroked="f" coordsize="21600,21600" o:allowincell="f">
            <v:path/>
            <v:fill on="f" focussize="0,0"/>
            <v:stroke on="f" joinstyle="miter"/>
            <v:imagedata o:title=""/>
            <o:lock v:ext="edit"/>
            <v:textbox inset="0mm,0mm,0mm,0mm">
              <w:txbxContent>
                <w:p>
                  <w:pPr>
                    <w:spacing w:before="19" w:line="197" w:lineRule="auto"/>
                    <w:ind w:left="20"/>
                    <w:rPr>
                      <w:rFonts w:ascii="Times New Roman" w:hAnsi="Times New Roman" w:eastAsia="Times New Roman" w:cs="Times New Roman"/>
                      <w:sz w:val="17"/>
                      <w:szCs w:val="17"/>
                    </w:rPr>
                  </w:pPr>
                </w:p>
              </w:txbxContent>
            </v:textbox>
          </v:shape>
        </w:pict>
      </w:r>
      <w:r>
        <w:rPr>
          <w:rFonts w:hint="eastAsia" w:ascii="宋体" w:hAnsi="宋体" w:eastAsia="宋体" w:cs="宋体"/>
          <w:b/>
          <w:bCs/>
          <w:color w:val="auto"/>
          <w:sz w:val="24"/>
          <w:szCs w:val="24"/>
          <w:highlight w:val="none"/>
        </w:rPr>
        <w:t>3、本章要求投标人提供的资格证明材料必须加盖投标人印章(鲜章)。</w:t>
      </w:r>
    </w:p>
    <w:p>
      <w:pPr>
        <w:spacing w:line="240" w:lineRule="auto"/>
        <w:rPr>
          <w:color w:val="auto"/>
          <w:highlight w:val="none"/>
        </w:rPr>
        <w:sectPr>
          <w:headerReference r:id="rId37" w:type="default"/>
          <w:footerReference r:id="rId38" w:type="default"/>
          <w:pgSz w:w="11905" w:h="16838"/>
          <w:pgMar w:top="1417" w:right="1417" w:bottom="1417" w:left="1417" w:header="0" w:footer="1134" w:gutter="0"/>
          <w:cols w:space="0" w:num="1"/>
        </w:sectPr>
      </w:pPr>
    </w:p>
    <w:p>
      <w:pPr>
        <w:spacing w:before="114" w:line="240" w:lineRule="auto"/>
        <w:jc w:val="center"/>
        <w:outlineLvl w:val="0"/>
        <w:rPr>
          <w:rFonts w:ascii="宋体" w:hAnsi="宋体" w:eastAsia="宋体" w:cs="宋体"/>
          <w:color w:val="auto"/>
          <w:spacing w:val="11"/>
          <w:sz w:val="36"/>
          <w:szCs w:val="36"/>
          <w:highlight w:val="none"/>
          <w14:textOutline w14:w="6540" w14:cap="sq" w14:cmpd="sng" w14:algn="ctr">
            <w14:solidFill>
              <w14:srgbClr w14:val="000000"/>
            </w14:solidFill>
            <w14:prstDash w14:val="solid"/>
            <w14:bevel/>
          </w14:textOutline>
        </w:rPr>
      </w:pPr>
      <w:bookmarkStart w:id="155" w:name="_Toc4044"/>
      <w:r>
        <w:rPr>
          <w:rFonts w:hint="eastAsia" w:ascii="宋体" w:hAnsi="宋体" w:eastAsia="宋体" w:cs="宋体"/>
          <w:color w:val="auto"/>
          <w:spacing w:val="11"/>
          <w:sz w:val="36"/>
          <w:szCs w:val="36"/>
          <w:highlight w:val="none"/>
          <w14:textOutline w14:w="6540" w14:cap="sq" w14:cmpd="sng" w14:algn="ctr">
            <w14:solidFill>
              <w14:srgbClr w14:val="000000"/>
            </w14:solidFill>
            <w14:prstDash w14:val="solid"/>
            <w14:bevel/>
          </w14:textOutline>
        </w:rPr>
        <w:t>第五章  投标人应当提供的资格、资质性及其他类似</w:t>
      </w:r>
      <w:bookmarkStart w:id="156" w:name="_Toc27836"/>
      <w:r>
        <w:rPr>
          <w:rFonts w:hint="eastAsia" w:ascii="宋体" w:hAnsi="宋体" w:eastAsia="宋体" w:cs="宋体"/>
          <w:color w:val="auto"/>
          <w:spacing w:val="11"/>
          <w:sz w:val="36"/>
          <w:szCs w:val="36"/>
          <w:highlight w:val="none"/>
          <w14:textOutline w14:w="6540" w14:cap="sq" w14:cmpd="sng" w14:algn="ctr">
            <w14:solidFill>
              <w14:srgbClr w14:val="000000"/>
            </w14:solidFill>
            <w14:prstDash w14:val="solid"/>
            <w14:bevel/>
          </w14:textOutline>
        </w:rPr>
        <w:t>效力要求的相关证明材料</w:t>
      </w:r>
      <w:bookmarkEnd w:id="155"/>
      <w:bookmarkEnd w:id="156"/>
    </w:p>
    <w:p>
      <w:pPr>
        <w:spacing w:line="240" w:lineRule="auto"/>
        <w:rPr>
          <w:color w:val="auto"/>
          <w:highlight w:val="none"/>
        </w:rPr>
      </w:pPr>
    </w:p>
    <w:p>
      <w:pPr>
        <w:spacing w:line="240" w:lineRule="auto"/>
        <w:rPr>
          <w:color w:val="auto"/>
          <w:highlight w:val="none"/>
        </w:rPr>
      </w:pPr>
    </w:p>
    <w:p>
      <w:pPr>
        <w:spacing w:line="240" w:lineRule="auto"/>
        <w:outlineLvl w:val="9"/>
        <w:rPr>
          <w:rFonts w:ascii="宋体" w:hAnsi="宋体" w:eastAsia="宋体" w:cs="宋体"/>
          <w:b/>
          <w:bCs/>
          <w:color w:val="auto"/>
          <w:sz w:val="24"/>
          <w:szCs w:val="24"/>
          <w:highlight w:val="none"/>
        </w:rPr>
      </w:pPr>
      <w:bookmarkStart w:id="157" w:name="_Toc23003"/>
      <w:bookmarkStart w:id="158" w:name="_Toc487"/>
      <w:r>
        <w:rPr>
          <w:rFonts w:hint="eastAsia" w:ascii="宋体" w:hAnsi="宋体" w:eastAsia="宋体" w:cs="宋体"/>
          <w:b/>
          <w:bCs/>
          <w:color w:val="auto"/>
          <w:sz w:val="24"/>
          <w:szCs w:val="24"/>
          <w:highlight w:val="none"/>
        </w:rPr>
        <w:t>一、应当提供的供应商资格、资质性及其他类似效力要求的相关证明材料</w:t>
      </w:r>
      <w:bookmarkEnd w:id="157"/>
      <w:bookmarkEnd w:id="158"/>
    </w:p>
    <w:p>
      <w:pPr>
        <w:spacing w:line="240" w:lineRule="auto"/>
        <w:ind w:left="34"/>
        <w:rPr>
          <w:rFonts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(一) 满足《中华人民共和国政府采购法》第二十二条规定的条件</w:t>
      </w:r>
      <w:r>
        <w:rPr>
          <w:rFonts w:ascii="宋体" w:hAnsi="宋体" w:eastAsia="宋体" w:cs="宋体"/>
          <w:color w:val="auto"/>
          <w:spacing w:val="9"/>
          <w:sz w:val="24"/>
          <w:szCs w:val="24"/>
          <w:highlight w:val="none"/>
          <w14:textOutline w14:w="4356" w14:cap="sq" w14:cmpd="sng" w14:algn="ctr">
            <w14:solidFill>
              <w14:srgbClr w14:val="000000"/>
            </w14:solidFill>
            <w14:prstDash w14:val="solid"/>
            <w14:bevel/>
          </w14:textOutline>
        </w:rPr>
        <w:t>：</w:t>
      </w:r>
    </w:p>
    <w:p>
      <w:pPr>
        <w:spacing w:line="240" w:lineRule="auto"/>
        <w:ind w:left="22" w:right="94" w:firstLine="3"/>
        <w:outlineLvl w:val="9"/>
        <w:rPr>
          <w:rFonts w:ascii="宋体" w:hAnsi="宋体" w:eastAsia="宋体" w:cs="宋体"/>
          <w:color w:val="auto"/>
          <w:spacing w:val="9"/>
          <w:sz w:val="24"/>
          <w:szCs w:val="24"/>
          <w:highlight w:val="none"/>
        </w:rPr>
      </w:pPr>
      <w:bookmarkStart w:id="159" w:name="_Toc15790"/>
      <w:bookmarkStart w:id="160" w:name="_Toc12679"/>
      <w:r>
        <w:rPr>
          <w:rFonts w:hint="eastAsia" w:ascii="宋体" w:hAnsi="宋体" w:eastAsia="宋体" w:cs="宋体"/>
          <w:color w:val="auto"/>
          <w:spacing w:val="9"/>
          <w:sz w:val="24"/>
          <w:szCs w:val="24"/>
          <w:highlight w:val="none"/>
        </w:rPr>
        <w:t>1、具有独立承担民事责任的能力：</w:t>
      </w:r>
      <w:bookmarkEnd w:id="159"/>
      <w:bookmarkEnd w:id="160"/>
    </w:p>
    <w:p>
      <w:pPr>
        <w:spacing w:line="240" w:lineRule="auto"/>
        <w:ind w:left="22" w:right="94" w:firstLine="3"/>
        <w:rPr>
          <w:rFonts w:ascii="宋体" w:hAnsi="宋体" w:eastAsia="宋体" w:cs="宋体"/>
          <w:color w:val="auto"/>
          <w:spacing w:val="9"/>
          <w:sz w:val="24"/>
          <w:szCs w:val="24"/>
          <w:highlight w:val="none"/>
        </w:rPr>
      </w:pPr>
      <w:r>
        <w:rPr>
          <w:rFonts w:hint="eastAsia" w:ascii="宋体" w:hAnsi="宋体" w:eastAsia="宋体" w:cs="宋体"/>
          <w:color w:val="auto"/>
          <w:spacing w:val="9"/>
          <w:sz w:val="24"/>
          <w:szCs w:val="24"/>
          <w:highlight w:val="none"/>
        </w:rPr>
        <w:t>(①投标人若为企业法人：提供“统一社会信用代码营业执照”；未换证的提供“营业执照、税务登记证、组织机构代码证或三证合一的营业执照”；②若为事业法人：提供“统一社会信用代码法人登记证书”；未换证的提交“事业法人登记证书、组织机构代码证”；③若为其他组织：提供“对应主管部门颁发的准许执业证明文件或营业执照”；④若为个体工商户：提供“统一社会信用代码营业执照副本”或“营业执照、税务登记证”⑤若为自然人：提供“身份证明材料”。以上均提供复印件)</w:t>
      </w:r>
    </w:p>
    <w:p>
      <w:pPr>
        <w:spacing w:line="240" w:lineRule="auto"/>
        <w:ind w:left="22" w:right="94" w:firstLine="3"/>
        <w:rPr>
          <w:rFonts w:hint="eastAsia" w:ascii="宋体" w:hAnsi="宋体" w:eastAsia="宋体" w:cs="宋体"/>
          <w:color w:val="auto"/>
          <w:spacing w:val="9"/>
          <w:sz w:val="24"/>
          <w:szCs w:val="24"/>
          <w:highlight w:val="none"/>
          <w:lang w:eastAsia="zh-CN"/>
        </w:rPr>
      </w:pPr>
      <w:r>
        <w:rPr>
          <w:rFonts w:hint="eastAsia" w:ascii="宋体" w:hAnsi="宋体" w:eastAsia="宋体" w:cs="宋体"/>
          <w:color w:val="auto"/>
          <w:spacing w:val="9"/>
          <w:sz w:val="24"/>
          <w:szCs w:val="24"/>
          <w:highlight w:val="none"/>
        </w:rPr>
        <w:t>2、具有良好的商业信誉和健全的财务会计制度：【①具有健全的财务会计制度的证明材料：A、可提供202</w:t>
      </w:r>
      <w:r>
        <w:rPr>
          <w:rFonts w:hint="eastAsia" w:ascii="宋体" w:hAnsi="宋体" w:eastAsia="宋体" w:cs="宋体"/>
          <w:color w:val="auto"/>
          <w:spacing w:val="9"/>
          <w:sz w:val="24"/>
          <w:szCs w:val="24"/>
          <w:highlight w:val="none"/>
          <w:lang w:val="en-US" w:eastAsia="zh-CN"/>
        </w:rPr>
        <w:t>2</w:t>
      </w:r>
      <w:r>
        <w:rPr>
          <w:rFonts w:hint="eastAsia" w:ascii="宋体" w:hAnsi="宋体" w:eastAsia="宋体" w:cs="宋体"/>
          <w:color w:val="auto"/>
          <w:spacing w:val="9"/>
          <w:sz w:val="24"/>
          <w:szCs w:val="24"/>
          <w:highlight w:val="none"/>
        </w:rPr>
        <w:t>年度(含)至今任意一年度经审计的财务报告(包含审计报告和审计报告中所涉及的财务报表和报表附注)；B、也可提供202</w:t>
      </w:r>
      <w:r>
        <w:rPr>
          <w:rFonts w:hint="eastAsia" w:ascii="宋体" w:hAnsi="宋体" w:eastAsia="宋体" w:cs="宋体"/>
          <w:color w:val="auto"/>
          <w:spacing w:val="9"/>
          <w:sz w:val="24"/>
          <w:szCs w:val="24"/>
          <w:highlight w:val="none"/>
          <w:lang w:val="en-US" w:eastAsia="zh-CN"/>
        </w:rPr>
        <w:t>2</w:t>
      </w:r>
      <w:r>
        <w:rPr>
          <w:rFonts w:hint="eastAsia" w:ascii="宋体" w:hAnsi="宋体" w:eastAsia="宋体" w:cs="宋体"/>
          <w:color w:val="auto"/>
          <w:spacing w:val="9"/>
          <w:sz w:val="24"/>
          <w:szCs w:val="24"/>
          <w:highlight w:val="none"/>
        </w:rPr>
        <w:t>年度(含)至今任意一年度供应商内部的财务报表(至少包含资产负债表) ；C、也可提供截止投标文件递交截止日一年内其基本开户银行出具的资信证明；D、</w:t>
      </w:r>
      <w:r>
        <w:rPr>
          <w:rFonts w:hint="eastAsia" w:ascii="宋体" w:hAnsi="宋体" w:eastAsia="宋体" w:cs="宋体"/>
          <w:color w:val="auto"/>
          <w:spacing w:val="9"/>
          <w:sz w:val="24"/>
          <w:szCs w:val="24"/>
          <w:highlight w:val="none"/>
          <w:lang w:val="en-US" w:eastAsia="zh-CN"/>
        </w:rPr>
        <w:t>投标人</w:t>
      </w:r>
      <w:r>
        <w:rPr>
          <w:rFonts w:hint="eastAsia" w:ascii="宋体" w:hAnsi="宋体" w:eastAsia="宋体" w:cs="宋体"/>
          <w:color w:val="auto"/>
          <w:spacing w:val="9"/>
          <w:sz w:val="24"/>
          <w:szCs w:val="24"/>
          <w:highlight w:val="none"/>
        </w:rPr>
        <w:t>注册时间截止响应文件递交截止日不足一年的，也可提供公司章程；F、自然人可不提供】</w:t>
      </w:r>
      <w:r>
        <w:rPr>
          <w:rFonts w:hint="eastAsia" w:ascii="宋体" w:hAnsi="宋体" w:eastAsia="宋体" w:cs="宋体"/>
          <w:color w:val="auto"/>
          <w:spacing w:val="9"/>
          <w:sz w:val="24"/>
          <w:szCs w:val="24"/>
          <w:highlight w:val="none"/>
          <w:lang w:eastAsia="zh-CN"/>
        </w:rPr>
        <w:t>。</w:t>
      </w:r>
    </w:p>
    <w:p>
      <w:pPr>
        <w:spacing w:line="240" w:lineRule="auto"/>
        <w:ind w:left="22" w:right="94" w:firstLine="3"/>
        <w:rPr>
          <w:rFonts w:ascii="宋体" w:hAnsi="宋体" w:eastAsia="宋体" w:cs="宋体"/>
          <w:color w:val="auto"/>
          <w:spacing w:val="9"/>
          <w:sz w:val="24"/>
          <w:szCs w:val="24"/>
          <w:highlight w:val="none"/>
        </w:rPr>
      </w:pPr>
      <w:r>
        <w:rPr>
          <w:rFonts w:hint="eastAsia" w:ascii="宋体" w:hAnsi="宋体" w:eastAsia="宋体" w:cs="宋体"/>
          <w:color w:val="auto"/>
          <w:spacing w:val="9"/>
          <w:sz w:val="24"/>
          <w:szCs w:val="24"/>
          <w:highlight w:val="none"/>
        </w:rPr>
        <w:t xml:space="preserve">②提供具有良好商业信誉的承诺函 (原件) ；                             </w:t>
      </w:r>
    </w:p>
    <w:p>
      <w:pPr>
        <w:spacing w:line="240" w:lineRule="auto"/>
        <w:ind w:left="22" w:right="94" w:firstLine="3"/>
        <w:rPr>
          <w:rFonts w:ascii="宋体" w:hAnsi="宋体" w:eastAsia="宋体" w:cs="宋体"/>
          <w:color w:val="auto"/>
          <w:spacing w:val="9"/>
          <w:sz w:val="24"/>
          <w:szCs w:val="24"/>
          <w:highlight w:val="none"/>
        </w:rPr>
      </w:pPr>
      <w:r>
        <w:rPr>
          <w:rFonts w:hint="eastAsia" w:ascii="宋体" w:hAnsi="宋体" w:eastAsia="宋体" w:cs="宋体"/>
          <w:color w:val="auto"/>
          <w:spacing w:val="9"/>
          <w:sz w:val="24"/>
          <w:szCs w:val="24"/>
          <w:highlight w:val="none"/>
        </w:rPr>
        <w:t xml:space="preserve">3、提供具有履行合同所必需的设备和专业技术能力承诺函；(原件)         </w:t>
      </w:r>
    </w:p>
    <w:p>
      <w:pPr>
        <w:spacing w:line="240" w:lineRule="auto"/>
        <w:ind w:left="22" w:right="94" w:firstLine="3"/>
        <w:rPr>
          <w:rFonts w:ascii="宋体" w:hAnsi="宋体" w:eastAsia="宋体" w:cs="宋体"/>
          <w:color w:val="auto"/>
          <w:spacing w:val="9"/>
          <w:sz w:val="24"/>
          <w:szCs w:val="24"/>
          <w:highlight w:val="none"/>
        </w:rPr>
      </w:pPr>
      <w:r>
        <w:rPr>
          <w:rFonts w:hint="eastAsia" w:ascii="宋体" w:hAnsi="宋体" w:eastAsia="宋体" w:cs="宋体"/>
          <w:color w:val="auto"/>
          <w:spacing w:val="9"/>
          <w:sz w:val="24"/>
          <w:szCs w:val="24"/>
          <w:highlight w:val="none"/>
        </w:rPr>
        <w:t>4、提供具有依法缴纳税收和社会保障资金的</w:t>
      </w:r>
      <w:r>
        <w:rPr>
          <w:rFonts w:hint="eastAsia" w:ascii="宋体" w:hAnsi="宋体" w:eastAsia="宋体" w:cs="宋体"/>
          <w:color w:val="auto"/>
          <w:spacing w:val="9"/>
          <w:sz w:val="24"/>
          <w:szCs w:val="24"/>
          <w:highlight w:val="none"/>
          <w:lang w:val="en-US" w:eastAsia="zh-CN"/>
        </w:rPr>
        <w:t>证明材料</w:t>
      </w:r>
      <w:r>
        <w:rPr>
          <w:rFonts w:hint="eastAsia" w:ascii="宋体" w:hAnsi="宋体" w:eastAsia="宋体" w:cs="宋体"/>
          <w:color w:val="auto"/>
          <w:spacing w:val="9"/>
          <w:sz w:val="24"/>
          <w:szCs w:val="24"/>
          <w:highlight w:val="none"/>
        </w:rPr>
        <w:t>；(</w:t>
      </w:r>
      <w:r>
        <w:rPr>
          <w:rFonts w:hint="eastAsia" w:ascii="宋体" w:hAnsi="宋体" w:eastAsia="宋体" w:cs="宋体"/>
          <w:color w:val="auto"/>
          <w:spacing w:val="9"/>
          <w:sz w:val="24"/>
          <w:szCs w:val="24"/>
          <w:highlight w:val="none"/>
          <w:lang w:val="en-US" w:eastAsia="zh-CN"/>
        </w:rPr>
        <w:t>①可提供2023年6月1日至今任意1个月</w:t>
      </w:r>
      <w:r>
        <w:rPr>
          <w:rFonts w:hint="eastAsia" w:ascii="宋体" w:hAnsi="宋体" w:cs="宋体"/>
          <w:color w:val="auto"/>
          <w:sz w:val="24"/>
          <w:szCs w:val="24"/>
          <w:highlight w:val="none"/>
        </w:rPr>
        <w:t>主管部门出具的依法缴纳税收及社会保障资金的发票或银行转账凭证或主管部门出具的证明文件</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②也可提供承诺函</w:t>
      </w:r>
      <w:r>
        <w:rPr>
          <w:rFonts w:hint="eastAsia" w:ascii="宋体" w:hAnsi="宋体" w:eastAsia="宋体" w:cs="宋体"/>
          <w:color w:val="auto"/>
          <w:spacing w:val="9"/>
          <w:sz w:val="24"/>
          <w:szCs w:val="24"/>
          <w:highlight w:val="none"/>
        </w:rPr>
        <w:t xml:space="preserve">原件)     </w:t>
      </w:r>
    </w:p>
    <w:p>
      <w:pPr>
        <w:spacing w:line="240" w:lineRule="auto"/>
        <w:ind w:left="22" w:right="94" w:firstLine="3"/>
        <w:rPr>
          <w:rFonts w:ascii="宋体" w:hAnsi="宋体" w:eastAsia="宋体" w:cs="宋体"/>
          <w:color w:val="auto"/>
          <w:spacing w:val="9"/>
          <w:sz w:val="24"/>
          <w:szCs w:val="24"/>
          <w:highlight w:val="none"/>
        </w:rPr>
      </w:pPr>
      <w:r>
        <w:rPr>
          <w:rFonts w:hint="eastAsia" w:ascii="宋体" w:hAnsi="宋体" w:eastAsia="宋体" w:cs="宋体"/>
          <w:color w:val="auto"/>
          <w:spacing w:val="9"/>
          <w:sz w:val="24"/>
          <w:szCs w:val="24"/>
          <w:highlight w:val="none"/>
        </w:rPr>
        <w:t>5、提供参加本次采购活动前三年内，在经营活动中没有重大违法记录的承诺函；(原件)(公司成立不足三年的从成立之日起算)</w:t>
      </w:r>
    </w:p>
    <w:p>
      <w:pPr>
        <w:spacing w:line="240" w:lineRule="auto"/>
        <w:ind w:left="22" w:right="94" w:firstLine="3"/>
        <w:outlineLvl w:val="9"/>
        <w:rPr>
          <w:rFonts w:ascii="宋体" w:hAnsi="宋体" w:eastAsia="宋体" w:cs="宋体"/>
          <w:color w:val="auto"/>
          <w:spacing w:val="4"/>
          <w:sz w:val="24"/>
          <w:szCs w:val="24"/>
          <w:highlight w:val="none"/>
        </w:rPr>
      </w:pPr>
      <w:bookmarkStart w:id="161" w:name="_Toc25527"/>
      <w:bookmarkStart w:id="162" w:name="_Toc20467"/>
      <w:r>
        <w:rPr>
          <w:rFonts w:hint="eastAsia" w:ascii="宋体" w:hAnsi="宋体" w:eastAsia="宋体" w:cs="宋体"/>
          <w:color w:val="auto"/>
          <w:spacing w:val="8"/>
          <w:sz w:val="24"/>
          <w:szCs w:val="24"/>
          <w:highlight w:val="none"/>
        </w:rPr>
        <w:t>6、</w:t>
      </w:r>
      <w:r>
        <w:rPr>
          <w:rFonts w:ascii="宋体" w:hAnsi="宋体" w:eastAsia="宋体" w:cs="宋体"/>
          <w:color w:val="auto"/>
          <w:spacing w:val="8"/>
          <w:sz w:val="24"/>
          <w:szCs w:val="24"/>
          <w:highlight w:val="none"/>
        </w:rPr>
        <w:t>提供具备</w:t>
      </w:r>
      <w:r>
        <w:rPr>
          <w:rFonts w:ascii="宋体" w:hAnsi="宋体" w:eastAsia="宋体" w:cs="宋体"/>
          <w:color w:val="auto"/>
          <w:spacing w:val="4"/>
          <w:sz w:val="24"/>
          <w:szCs w:val="24"/>
          <w:highlight w:val="none"/>
        </w:rPr>
        <w:t>法律、行政法规规定的其他条件的承诺函；(原件)</w:t>
      </w:r>
      <w:bookmarkEnd w:id="161"/>
      <w:bookmarkEnd w:id="162"/>
    </w:p>
    <w:p>
      <w:pPr>
        <w:spacing w:line="240" w:lineRule="auto"/>
        <w:ind w:left="24" w:right="96" w:firstLine="10"/>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(二) 其他类似效力要求相关证明材料：</w:t>
      </w:r>
    </w:p>
    <w:p>
      <w:pPr>
        <w:spacing w:line="240" w:lineRule="auto"/>
        <w:ind w:left="22" w:firstLine="18"/>
        <w:rPr>
          <w:rFonts w:ascii="宋体" w:hAnsi="宋体" w:eastAsia="宋体" w:cs="宋体"/>
          <w:color w:val="auto"/>
          <w:sz w:val="24"/>
          <w:szCs w:val="24"/>
          <w:highlight w:val="none"/>
        </w:rPr>
      </w:pPr>
      <w:r>
        <w:rPr>
          <w:rFonts w:ascii="宋体" w:hAnsi="宋体" w:eastAsia="宋体" w:cs="宋体"/>
          <w:color w:val="auto"/>
          <w:spacing w:val="22"/>
          <w:sz w:val="24"/>
          <w:szCs w:val="24"/>
          <w:highlight w:val="none"/>
        </w:rPr>
        <w:t>1、</w:t>
      </w:r>
      <w:r>
        <w:rPr>
          <w:rFonts w:hint="eastAsia" w:ascii="宋体" w:hAnsi="宋体" w:eastAsia="宋体" w:cs="宋体"/>
          <w:color w:val="auto"/>
          <w:spacing w:val="11"/>
          <w:sz w:val="24"/>
          <w:szCs w:val="24"/>
          <w:highlight w:val="none"/>
        </w:rPr>
        <w:t>招标代理机构</w:t>
      </w:r>
      <w:r>
        <w:rPr>
          <w:rFonts w:ascii="宋体" w:hAnsi="宋体" w:eastAsia="宋体" w:cs="宋体"/>
          <w:color w:val="auto"/>
          <w:spacing w:val="11"/>
          <w:sz w:val="24"/>
          <w:szCs w:val="24"/>
          <w:highlight w:val="none"/>
        </w:rPr>
        <w:t>通过“信用中国”网站 (</w:t>
      </w:r>
      <w:r>
        <w:rPr>
          <w:rFonts w:ascii="宋体" w:hAnsi="宋体" w:eastAsia="宋体" w:cs="宋体"/>
          <w:color w:val="auto"/>
          <w:sz w:val="24"/>
          <w:szCs w:val="24"/>
          <w:highlight w:val="none"/>
        </w:rPr>
        <w:t>www</w:t>
      </w:r>
      <w:r>
        <w:rPr>
          <w:rFonts w:ascii="宋体" w:hAnsi="宋体" w:eastAsia="宋体" w:cs="宋体"/>
          <w:color w:val="auto"/>
          <w:spacing w:val="11"/>
          <w:sz w:val="24"/>
          <w:szCs w:val="24"/>
          <w:highlight w:val="none"/>
        </w:rPr>
        <w:t>.</w:t>
      </w:r>
      <w:r>
        <w:rPr>
          <w:rFonts w:ascii="宋体" w:hAnsi="宋体" w:eastAsia="宋体" w:cs="宋体"/>
          <w:color w:val="auto"/>
          <w:sz w:val="24"/>
          <w:szCs w:val="24"/>
          <w:highlight w:val="none"/>
        </w:rPr>
        <w:t>creditchina</w:t>
      </w:r>
      <w:r>
        <w:rPr>
          <w:rFonts w:ascii="宋体" w:hAnsi="宋体" w:eastAsia="宋体" w:cs="宋体"/>
          <w:color w:val="auto"/>
          <w:spacing w:val="11"/>
          <w:sz w:val="24"/>
          <w:szCs w:val="24"/>
          <w:highlight w:val="none"/>
        </w:rPr>
        <w:t>.</w:t>
      </w:r>
      <w:r>
        <w:rPr>
          <w:rFonts w:ascii="宋体" w:hAnsi="宋体" w:eastAsia="宋体" w:cs="宋体"/>
          <w:color w:val="auto"/>
          <w:sz w:val="24"/>
          <w:szCs w:val="24"/>
          <w:highlight w:val="none"/>
        </w:rPr>
        <w:t>gov</w:t>
      </w:r>
      <w:r>
        <w:rPr>
          <w:rFonts w:ascii="宋体" w:hAnsi="宋体" w:eastAsia="宋体" w:cs="宋体"/>
          <w:color w:val="auto"/>
          <w:spacing w:val="11"/>
          <w:sz w:val="24"/>
          <w:szCs w:val="24"/>
          <w:highlight w:val="none"/>
        </w:rPr>
        <w:t>.</w:t>
      </w:r>
      <w:r>
        <w:rPr>
          <w:rFonts w:ascii="宋体" w:hAnsi="宋体" w:eastAsia="宋体" w:cs="宋体"/>
          <w:color w:val="auto"/>
          <w:sz w:val="24"/>
          <w:szCs w:val="24"/>
          <w:highlight w:val="none"/>
        </w:rPr>
        <w:t>cn</w:t>
      </w:r>
      <w:r>
        <w:rPr>
          <w:rFonts w:ascii="宋体" w:hAnsi="宋体" w:eastAsia="宋体" w:cs="宋体"/>
          <w:color w:val="auto"/>
          <w:spacing w:val="11"/>
          <w:sz w:val="24"/>
          <w:szCs w:val="24"/>
          <w:highlight w:val="none"/>
        </w:rPr>
        <w:t>) 、“中国</w:t>
      </w:r>
      <w:r>
        <w:rPr>
          <w:rFonts w:ascii="宋体" w:hAnsi="宋体" w:eastAsia="宋体" w:cs="宋体"/>
          <w:color w:val="auto"/>
          <w:spacing w:val="21"/>
          <w:sz w:val="24"/>
          <w:szCs w:val="24"/>
          <w:highlight w:val="none"/>
        </w:rPr>
        <w:t>政</w:t>
      </w:r>
      <w:r>
        <w:rPr>
          <w:rFonts w:ascii="宋体" w:hAnsi="宋体" w:eastAsia="宋体" w:cs="宋体"/>
          <w:color w:val="auto"/>
          <w:spacing w:val="11"/>
          <w:sz w:val="24"/>
          <w:szCs w:val="24"/>
          <w:highlight w:val="none"/>
        </w:rPr>
        <w:t>府采购网”网站 (</w:t>
      </w:r>
      <w:r>
        <w:rPr>
          <w:rFonts w:ascii="宋体" w:hAnsi="宋体" w:eastAsia="宋体" w:cs="宋体"/>
          <w:color w:val="auto"/>
          <w:sz w:val="24"/>
          <w:szCs w:val="24"/>
          <w:highlight w:val="none"/>
        </w:rPr>
        <w:t>www</w:t>
      </w:r>
      <w:r>
        <w:rPr>
          <w:rFonts w:ascii="宋体" w:hAnsi="宋体" w:eastAsia="宋体" w:cs="宋体"/>
          <w:color w:val="auto"/>
          <w:spacing w:val="11"/>
          <w:sz w:val="24"/>
          <w:szCs w:val="24"/>
          <w:highlight w:val="none"/>
        </w:rPr>
        <w:t>.</w:t>
      </w:r>
      <w:r>
        <w:rPr>
          <w:rFonts w:ascii="宋体" w:hAnsi="宋体" w:eastAsia="宋体" w:cs="宋体"/>
          <w:color w:val="auto"/>
          <w:sz w:val="24"/>
          <w:szCs w:val="24"/>
          <w:highlight w:val="none"/>
        </w:rPr>
        <w:t>ccgp</w:t>
      </w:r>
      <w:r>
        <w:rPr>
          <w:rFonts w:ascii="宋体" w:hAnsi="宋体" w:eastAsia="宋体" w:cs="宋体"/>
          <w:color w:val="auto"/>
          <w:spacing w:val="11"/>
          <w:sz w:val="24"/>
          <w:szCs w:val="24"/>
          <w:highlight w:val="none"/>
        </w:rPr>
        <w:t>.</w:t>
      </w:r>
      <w:r>
        <w:rPr>
          <w:rFonts w:ascii="宋体" w:hAnsi="宋体" w:eastAsia="宋体" w:cs="宋体"/>
          <w:color w:val="auto"/>
          <w:sz w:val="24"/>
          <w:szCs w:val="24"/>
          <w:highlight w:val="none"/>
        </w:rPr>
        <w:t>gov</w:t>
      </w:r>
      <w:r>
        <w:rPr>
          <w:rFonts w:ascii="宋体" w:hAnsi="宋体" w:eastAsia="宋体" w:cs="宋体"/>
          <w:color w:val="auto"/>
          <w:spacing w:val="11"/>
          <w:sz w:val="24"/>
          <w:szCs w:val="24"/>
          <w:highlight w:val="none"/>
        </w:rPr>
        <w:t>.</w:t>
      </w:r>
      <w:r>
        <w:rPr>
          <w:rFonts w:ascii="宋体" w:hAnsi="宋体" w:eastAsia="宋体" w:cs="宋体"/>
          <w:color w:val="auto"/>
          <w:sz w:val="24"/>
          <w:szCs w:val="24"/>
          <w:highlight w:val="none"/>
        </w:rPr>
        <w:t>cn</w:t>
      </w:r>
      <w:r>
        <w:rPr>
          <w:rFonts w:ascii="宋体" w:hAnsi="宋体" w:eastAsia="宋体" w:cs="宋体"/>
          <w:color w:val="auto"/>
          <w:spacing w:val="11"/>
          <w:sz w:val="24"/>
          <w:szCs w:val="24"/>
          <w:highlight w:val="none"/>
        </w:rPr>
        <w:t>) 等渠道查询供应商在递交投标文件截止</w:t>
      </w:r>
      <w:r>
        <w:rPr>
          <w:rFonts w:ascii="宋体" w:hAnsi="宋体" w:eastAsia="宋体" w:cs="宋体"/>
          <w:color w:val="auto"/>
          <w:spacing w:val="18"/>
          <w:sz w:val="24"/>
          <w:szCs w:val="24"/>
          <w:highlight w:val="none"/>
        </w:rPr>
        <w:t>之日</w:t>
      </w:r>
      <w:r>
        <w:rPr>
          <w:rFonts w:ascii="宋体" w:hAnsi="宋体" w:eastAsia="宋体" w:cs="宋体"/>
          <w:color w:val="auto"/>
          <w:spacing w:val="9"/>
          <w:sz w:val="24"/>
          <w:szCs w:val="24"/>
          <w:highlight w:val="none"/>
        </w:rPr>
        <w:t>的信用记录并保存信用记录结果网页截图，拒绝列入失信被执行人名单、</w:t>
      </w:r>
      <w:r>
        <w:rPr>
          <w:rFonts w:ascii="宋体" w:hAnsi="宋体" w:eastAsia="宋体" w:cs="宋体"/>
          <w:color w:val="auto"/>
          <w:spacing w:val="10"/>
          <w:sz w:val="24"/>
          <w:szCs w:val="24"/>
          <w:highlight w:val="none"/>
        </w:rPr>
        <w:t>重</w:t>
      </w:r>
      <w:r>
        <w:rPr>
          <w:rFonts w:ascii="宋体" w:hAnsi="宋体" w:eastAsia="宋体" w:cs="宋体"/>
          <w:color w:val="auto"/>
          <w:spacing w:val="7"/>
          <w:sz w:val="24"/>
          <w:szCs w:val="24"/>
          <w:highlight w:val="none"/>
        </w:rPr>
        <w:t>大税收违法案件当事人名单、政府采购严重违法失信行为记录名单中的供应商</w:t>
      </w:r>
      <w:r>
        <w:rPr>
          <w:rFonts w:ascii="宋体" w:hAnsi="宋体" w:eastAsia="宋体" w:cs="宋体"/>
          <w:color w:val="auto"/>
          <w:spacing w:val="11"/>
          <w:sz w:val="24"/>
          <w:szCs w:val="24"/>
          <w:highlight w:val="none"/>
        </w:rPr>
        <w:t>参</w:t>
      </w:r>
      <w:r>
        <w:rPr>
          <w:rFonts w:ascii="宋体" w:hAnsi="宋体" w:eastAsia="宋体" w:cs="宋体"/>
          <w:color w:val="auto"/>
          <w:spacing w:val="6"/>
          <w:sz w:val="24"/>
          <w:szCs w:val="24"/>
          <w:highlight w:val="none"/>
        </w:rPr>
        <w:t>加本项目的采购活动。</w:t>
      </w:r>
      <w:r>
        <w:rPr>
          <w:rFonts w:hint="eastAsia" w:ascii="宋体" w:hAnsi="宋体" w:eastAsia="宋体" w:cs="宋体"/>
          <w:b/>
          <w:bCs/>
          <w:color w:val="auto"/>
          <w:sz w:val="24"/>
          <w:szCs w:val="24"/>
          <w:highlight w:val="none"/>
        </w:rPr>
        <w:t>(此项由招标代理机构查询，投标人不提供证明材料)</w:t>
      </w:r>
    </w:p>
    <w:p>
      <w:pPr>
        <w:spacing w:line="240" w:lineRule="auto"/>
        <w:ind w:left="28"/>
        <w:rPr>
          <w:rFonts w:ascii="宋体" w:hAnsi="宋体" w:eastAsia="宋体" w:cs="宋体"/>
          <w:color w:val="auto"/>
          <w:spacing w:val="8"/>
          <w:sz w:val="24"/>
          <w:szCs w:val="24"/>
          <w:highlight w:val="none"/>
        </w:rPr>
      </w:pPr>
      <w:r>
        <w:rPr>
          <w:rFonts w:hint="eastAsia" w:ascii="宋体" w:hAnsi="宋体" w:eastAsia="宋体" w:cs="宋体"/>
          <w:color w:val="auto"/>
          <w:spacing w:val="8"/>
          <w:sz w:val="24"/>
          <w:szCs w:val="24"/>
          <w:highlight w:val="none"/>
          <w:lang w:val="en-US" w:eastAsia="zh-CN"/>
        </w:rPr>
        <w:t>2</w:t>
      </w:r>
      <w:r>
        <w:rPr>
          <w:rFonts w:ascii="宋体" w:hAnsi="宋体" w:eastAsia="宋体" w:cs="宋体"/>
          <w:color w:val="auto"/>
          <w:spacing w:val="8"/>
          <w:sz w:val="24"/>
          <w:szCs w:val="24"/>
          <w:highlight w:val="none"/>
        </w:rPr>
        <w:t>、</w:t>
      </w:r>
      <w:r>
        <w:rPr>
          <w:rFonts w:hint="eastAsia" w:ascii="宋体" w:hAnsi="宋体" w:eastAsia="宋体" w:cs="宋体"/>
          <w:color w:val="auto"/>
          <w:spacing w:val="8"/>
          <w:sz w:val="24"/>
          <w:szCs w:val="24"/>
          <w:highlight w:val="none"/>
        </w:rPr>
        <w:t>法定代表人/单位负责人身份证明书原件及有效身份证明材料复印件并加盖投标人公章（法定代表人/单位负责人参加投标时提供）；</w:t>
      </w:r>
    </w:p>
    <w:p>
      <w:pPr>
        <w:spacing w:line="240" w:lineRule="auto"/>
        <w:ind w:left="28"/>
        <w:rPr>
          <w:rFonts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lang w:val="en-US" w:eastAsia="zh-CN"/>
        </w:rPr>
        <w:t>3</w:t>
      </w:r>
      <w:r>
        <w:rPr>
          <w:rFonts w:hint="eastAsia" w:ascii="宋体" w:hAnsi="宋体" w:eastAsia="宋体" w:cs="宋体"/>
          <w:color w:val="auto"/>
          <w:spacing w:val="8"/>
          <w:sz w:val="24"/>
          <w:szCs w:val="24"/>
          <w:highlight w:val="none"/>
        </w:rPr>
        <w:t>.法定代表人/单位负责人有效身份证明材料复印件及授权委托书原件和授权代表有效身份证明材料复印件并加盖投标人公章（委托代理人参加投标时提供）。</w:t>
      </w:r>
    </w:p>
    <w:p>
      <w:pPr>
        <w:spacing w:line="240" w:lineRule="auto"/>
        <w:ind w:left="24" w:right="94" w:hanging="2"/>
        <w:rPr>
          <w:rFonts w:ascii="宋体" w:hAnsi="宋体" w:eastAsia="宋体" w:cs="宋体"/>
          <w:color w:val="auto"/>
          <w:sz w:val="24"/>
          <w:szCs w:val="24"/>
          <w:highlight w:val="none"/>
        </w:rPr>
      </w:pPr>
      <w:r>
        <w:rPr>
          <w:rFonts w:hint="eastAsia" w:ascii="宋体" w:hAnsi="宋体" w:eastAsia="宋体" w:cs="宋体"/>
          <w:color w:val="auto"/>
          <w:spacing w:val="18"/>
          <w:sz w:val="24"/>
          <w:szCs w:val="24"/>
          <w:highlight w:val="none"/>
          <w:lang w:val="en-US" w:eastAsia="zh-CN"/>
        </w:rPr>
        <w:t>4</w:t>
      </w:r>
      <w:r>
        <w:rPr>
          <w:rFonts w:ascii="宋体" w:hAnsi="宋体" w:eastAsia="宋体" w:cs="宋体"/>
          <w:color w:val="auto"/>
          <w:spacing w:val="18"/>
          <w:sz w:val="24"/>
          <w:szCs w:val="24"/>
          <w:highlight w:val="none"/>
        </w:rPr>
        <w:t>、</w:t>
      </w:r>
      <w:r>
        <w:rPr>
          <w:rFonts w:ascii="宋体" w:hAnsi="宋体" w:eastAsia="宋体" w:cs="宋体"/>
          <w:color w:val="auto"/>
          <w:spacing w:val="10"/>
          <w:sz w:val="24"/>
          <w:szCs w:val="24"/>
          <w:highlight w:val="none"/>
        </w:rPr>
        <w:t>按照本项目招标文件的规定获取了招标文件</w:t>
      </w:r>
      <w:r>
        <w:rPr>
          <w:rFonts w:hint="eastAsia" w:ascii="宋体" w:hAnsi="宋体" w:eastAsia="宋体" w:cs="宋体"/>
          <w:b/>
          <w:bCs/>
          <w:color w:val="auto"/>
          <w:sz w:val="24"/>
          <w:szCs w:val="24"/>
          <w:highlight w:val="none"/>
        </w:rPr>
        <w:t xml:space="preserve"> (投标人不需要对本条提供证明材料，由招标代理机构提供投标人获取招标文件情况的材料) 。</w:t>
      </w:r>
    </w:p>
    <w:p>
      <w:pPr>
        <w:spacing w:line="240" w:lineRule="auto"/>
        <w:rPr>
          <w:color w:val="auto"/>
          <w:sz w:val="24"/>
          <w:szCs w:val="24"/>
          <w:highlight w:val="none"/>
        </w:rPr>
      </w:pPr>
    </w:p>
    <w:p>
      <w:pPr>
        <w:spacing w:line="240" w:lineRule="auto"/>
        <w:ind w:left="23" w:right="96" w:firstLine="4"/>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注意：1、本章要求投标人提供的资格证明材料必须加盖投标人印章(鲜章)。</w:t>
      </w:r>
    </w:p>
    <w:p>
      <w:pPr>
        <w:spacing w:line="240" w:lineRule="auto"/>
        <w:ind w:left="23" w:right="96" w:firstLine="4"/>
        <w:rPr>
          <w:rFonts w:ascii="宋体" w:hAnsi="宋体" w:eastAsia="宋体" w:cs="宋体"/>
          <w:b/>
          <w:bCs/>
          <w:color w:val="auto"/>
          <w:sz w:val="23"/>
          <w:szCs w:val="23"/>
          <w:highlight w:val="none"/>
        </w:rPr>
      </w:pPr>
      <w:r>
        <w:rPr>
          <w:rFonts w:hint="eastAsia" w:ascii="宋体" w:hAnsi="宋体" w:eastAsia="宋体" w:cs="宋体"/>
          <w:b/>
          <w:bCs/>
          <w:color w:val="auto"/>
          <w:sz w:val="24"/>
          <w:szCs w:val="24"/>
          <w:highlight w:val="none"/>
        </w:rPr>
        <w:t>2、投标人应对其所提供的资格证明材料的来源的合法性、真实性负责。</w:t>
      </w:r>
    </w:p>
    <w:p>
      <w:pPr>
        <w:spacing w:line="240" w:lineRule="auto"/>
        <w:rPr>
          <w:color w:val="auto"/>
          <w:highlight w:val="none"/>
        </w:rPr>
        <w:sectPr>
          <w:headerReference r:id="rId39" w:type="default"/>
          <w:footerReference r:id="rId40" w:type="default"/>
          <w:pgSz w:w="11905" w:h="16838"/>
          <w:pgMar w:top="1417" w:right="1417" w:bottom="1417" w:left="1417" w:header="0" w:footer="1134" w:gutter="0"/>
          <w:cols w:space="0" w:num="1"/>
        </w:sectPr>
      </w:pPr>
    </w:p>
    <w:p>
      <w:pPr>
        <w:spacing w:before="114" w:line="240" w:lineRule="auto"/>
        <w:jc w:val="center"/>
        <w:outlineLvl w:val="0"/>
        <w:rPr>
          <w:rFonts w:ascii="宋体" w:hAnsi="宋体" w:eastAsia="宋体" w:cs="宋体"/>
          <w:color w:val="auto"/>
          <w:spacing w:val="11"/>
          <w:sz w:val="36"/>
          <w:szCs w:val="36"/>
          <w:highlight w:val="none"/>
          <w14:textOutline w14:w="6540" w14:cap="sq" w14:cmpd="sng" w14:algn="ctr">
            <w14:solidFill>
              <w14:srgbClr w14:val="000000"/>
            </w14:solidFill>
            <w14:prstDash w14:val="solid"/>
            <w14:bevel/>
          </w14:textOutline>
        </w:rPr>
      </w:pPr>
      <w:bookmarkStart w:id="163" w:name="_Toc8606"/>
      <w:r>
        <w:rPr>
          <w:rFonts w:hint="eastAsia" w:ascii="宋体" w:hAnsi="宋体" w:eastAsia="宋体" w:cs="宋体"/>
          <w:color w:val="auto"/>
          <w:spacing w:val="11"/>
          <w:sz w:val="36"/>
          <w:szCs w:val="36"/>
          <w:highlight w:val="none"/>
          <w14:textOutline w14:w="6540" w14:cap="sq" w14:cmpd="sng" w14:algn="ctr">
            <w14:solidFill>
              <w14:srgbClr w14:val="000000"/>
            </w14:solidFill>
            <w14:prstDash w14:val="solid"/>
            <w14:bevel/>
          </w14:textOutline>
        </w:rPr>
        <w:t>第六章 招标项目技术、服务及商务要求</w:t>
      </w:r>
      <w:bookmarkEnd w:id="163"/>
    </w:p>
    <w:p>
      <w:pPr>
        <w:spacing w:line="240" w:lineRule="auto"/>
        <w:ind w:firstLine="480"/>
        <w:rPr>
          <w:rFonts w:asciiTheme="minorEastAsia" w:hAnsiTheme="minorEastAsia" w:eastAsiaTheme="minorEastAsia"/>
          <w:color w:val="auto"/>
          <w:szCs w:val="24"/>
          <w:highlight w:val="none"/>
        </w:rPr>
      </w:pPr>
    </w:p>
    <w:p>
      <w:pPr>
        <w:keepNext/>
        <w:keepLines/>
        <w:widowControl w:val="0"/>
        <w:numPr>
          <w:ilvl w:val="0"/>
          <w:numId w:val="5"/>
        </w:numPr>
        <w:spacing w:before="340" w:after="330" w:line="240" w:lineRule="auto"/>
        <w:outlineLvl w:val="1"/>
        <w:rPr>
          <w:rFonts w:ascii="宋体" w:hAnsi="宋体" w:eastAsia="宋体" w:cs="Times New Roman"/>
          <w:b/>
          <w:bCs/>
          <w:color w:val="auto"/>
          <w:kern w:val="44"/>
          <w:sz w:val="23"/>
          <w:szCs w:val="23"/>
          <w:highlight w:val="none"/>
        </w:rPr>
      </w:pPr>
      <w:bookmarkStart w:id="164" w:name="_Toc2090"/>
      <w:bookmarkStart w:id="165" w:name="_Toc213"/>
      <w:r>
        <w:rPr>
          <w:rFonts w:hint="eastAsia" w:ascii="宋体" w:hAnsi="宋体" w:eastAsia="宋体" w:cs="Times New Roman"/>
          <w:b/>
          <w:bCs/>
          <w:color w:val="auto"/>
          <w:kern w:val="44"/>
          <w:sz w:val="23"/>
          <w:szCs w:val="23"/>
          <w:highlight w:val="none"/>
        </w:rPr>
        <w:t>项目概况</w:t>
      </w:r>
      <w:bookmarkEnd w:id="164"/>
      <w:bookmarkEnd w:id="165"/>
    </w:p>
    <w:p>
      <w:pPr>
        <w:spacing w:line="240" w:lineRule="auto"/>
        <w:ind w:left="24" w:right="13" w:firstLine="471"/>
        <w:rPr>
          <w:color w:val="auto"/>
          <w:sz w:val="23"/>
          <w:szCs w:val="23"/>
          <w:highlight w:val="none"/>
        </w:rPr>
      </w:pPr>
      <w:r>
        <w:rPr>
          <w:rFonts w:hint="eastAsia" w:ascii="宋体" w:hAnsi="宋体" w:eastAsia="宋体" w:cs="宋体"/>
          <w:bCs/>
          <w:color w:val="auto"/>
          <w:kern w:val="0"/>
          <w:sz w:val="23"/>
          <w:szCs w:val="23"/>
          <w:highlight w:val="none"/>
          <w:lang w:val="en-US" w:eastAsia="zh-CN"/>
        </w:rPr>
        <w:t>拟通过</w:t>
      </w:r>
      <w:r>
        <w:rPr>
          <w:rFonts w:hint="eastAsia" w:ascii="宋体" w:hAnsi="宋体" w:eastAsia="宋体" w:cs="宋体"/>
          <w:color w:val="auto"/>
          <w:sz w:val="24"/>
          <w:szCs w:val="24"/>
          <w:highlight w:val="none"/>
          <w:lang w:val="en-US" w:eastAsia="zh-CN"/>
        </w:rPr>
        <w:t>公开招标的方式确定一名投标人为为成都市技师学院（成都工贸职业技术学院）2024级新生提供军训服。涉及军训的有四个校区（郫都校区、郫都西校区、新都校区、成华校区）。</w:t>
      </w:r>
      <w:r>
        <w:rPr>
          <w:rFonts w:hint="eastAsia" w:ascii="宋体" w:hAnsi="宋体" w:eastAsia="宋体" w:cs="宋体"/>
          <w:color w:val="auto"/>
          <w:sz w:val="24"/>
          <w:szCs w:val="24"/>
          <w:highlight w:val="none"/>
          <w:lang w:eastAsia="zh-CN"/>
        </w:rPr>
        <w:t>招标人</w:t>
      </w:r>
      <w:r>
        <w:rPr>
          <w:rFonts w:hint="eastAsia" w:ascii="宋体" w:hAnsi="宋体" w:eastAsia="宋体" w:cs="宋体"/>
          <w:color w:val="auto"/>
          <w:sz w:val="24"/>
          <w:szCs w:val="24"/>
          <w:highlight w:val="none"/>
        </w:rPr>
        <w:t>计划招生约为：</w:t>
      </w:r>
      <w:r>
        <w:rPr>
          <w:rFonts w:hint="eastAsia" w:ascii="宋体" w:hAnsi="宋体" w:eastAsia="宋体" w:cs="宋体"/>
          <w:color w:val="auto"/>
          <w:sz w:val="24"/>
          <w:szCs w:val="24"/>
          <w:highlight w:val="none"/>
          <w:lang w:val="en-US" w:eastAsia="zh-CN"/>
        </w:rPr>
        <w:t>5000</w:t>
      </w:r>
      <w:r>
        <w:rPr>
          <w:rFonts w:hint="eastAsia" w:ascii="宋体" w:hAnsi="宋体" w:eastAsia="宋体" w:cs="宋体"/>
          <w:color w:val="auto"/>
          <w:sz w:val="24"/>
          <w:szCs w:val="24"/>
          <w:highlight w:val="none"/>
        </w:rPr>
        <w:t>人，其中中职</w:t>
      </w:r>
      <w:r>
        <w:rPr>
          <w:rFonts w:hint="eastAsia" w:ascii="宋体" w:hAnsi="宋体" w:eastAsia="宋体" w:cs="宋体"/>
          <w:color w:val="auto"/>
          <w:sz w:val="24"/>
          <w:szCs w:val="24"/>
          <w:highlight w:val="none"/>
          <w:lang w:val="en-US" w:eastAsia="zh-CN"/>
        </w:rPr>
        <w:t>1200</w:t>
      </w:r>
      <w:r>
        <w:rPr>
          <w:rFonts w:hint="eastAsia" w:ascii="宋体" w:hAnsi="宋体" w:eastAsia="宋体" w:cs="宋体"/>
          <w:color w:val="auto"/>
          <w:sz w:val="24"/>
          <w:szCs w:val="24"/>
          <w:highlight w:val="none"/>
        </w:rPr>
        <w:t>人，高职:</w:t>
      </w:r>
      <w:r>
        <w:rPr>
          <w:rFonts w:hint="eastAsia" w:ascii="宋体" w:hAnsi="宋体" w:eastAsia="宋体" w:cs="宋体"/>
          <w:color w:val="auto"/>
          <w:sz w:val="24"/>
          <w:szCs w:val="24"/>
          <w:highlight w:val="none"/>
          <w:lang w:val="en-US" w:eastAsia="zh-CN"/>
        </w:rPr>
        <w:t>3800</w:t>
      </w:r>
      <w:r>
        <w:rPr>
          <w:rFonts w:hint="eastAsia" w:ascii="宋体" w:hAnsi="宋体" w:eastAsia="宋体" w:cs="宋体"/>
          <w:color w:val="auto"/>
          <w:sz w:val="24"/>
          <w:szCs w:val="24"/>
          <w:highlight w:val="none"/>
        </w:rPr>
        <w:t>人（最终以实际招生为准）。</w:t>
      </w:r>
    </w:p>
    <w:p>
      <w:pPr>
        <w:keepNext/>
        <w:keepLines/>
        <w:widowControl w:val="0"/>
        <w:numPr>
          <w:ilvl w:val="0"/>
          <w:numId w:val="5"/>
        </w:numPr>
        <w:spacing w:before="340" w:after="330" w:line="240" w:lineRule="auto"/>
        <w:outlineLvl w:val="1"/>
        <w:rPr>
          <w:rFonts w:ascii="宋体" w:hAnsi="宋体" w:eastAsia="宋体" w:cs="Times New Roman"/>
          <w:b/>
          <w:bCs/>
          <w:color w:val="auto"/>
          <w:kern w:val="44"/>
          <w:sz w:val="23"/>
          <w:szCs w:val="23"/>
          <w:highlight w:val="none"/>
        </w:rPr>
      </w:pPr>
      <w:bookmarkStart w:id="166" w:name="_Toc26284"/>
      <w:r>
        <w:rPr>
          <w:rFonts w:hint="eastAsia" w:ascii="宋体" w:hAnsi="宋体" w:eastAsia="宋体" w:cs="Times New Roman"/>
          <w:b/>
          <w:bCs/>
          <w:color w:val="auto"/>
          <w:kern w:val="44"/>
          <w:sz w:val="23"/>
          <w:szCs w:val="23"/>
          <w:highlight w:val="none"/>
        </w:rPr>
        <w:t>★</w:t>
      </w:r>
      <w:r>
        <w:rPr>
          <w:rFonts w:hint="eastAsia" w:ascii="宋体" w:hAnsi="宋体" w:eastAsia="宋体" w:cs="Times New Roman"/>
          <w:b/>
          <w:bCs/>
          <w:color w:val="auto"/>
          <w:kern w:val="44"/>
          <w:sz w:val="23"/>
          <w:szCs w:val="23"/>
          <w:highlight w:val="none"/>
          <w:lang w:val="en-US" w:eastAsia="zh-CN"/>
        </w:rPr>
        <w:t>采购范围及内容</w:t>
      </w:r>
      <w:bookmarkEnd w:id="166"/>
    </w:p>
    <w:tbl>
      <w:tblPr>
        <w:tblStyle w:val="18"/>
        <w:tblpPr w:leftFromText="180" w:rightFromText="180" w:vertAnchor="text" w:horzAnchor="page" w:tblpX="1202" w:tblpY="306"/>
        <w:tblOverlap w:val="never"/>
        <w:tblW w:w="89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4"/>
        <w:gridCol w:w="819"/>
        <w:gridCol w:w="3290"/>
        <w:gridCol w:w="884"/>
        <w:gridCol w:w="1012"/>
        <w:gridCol w:w="1390"/>
        <w:gridCol w:w="8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trPr>
        <w:tc>
          <w:tcPr>
            <w:tcW w:w="794" w:type="dxa"/>
            <w:noWrap w:val="0"/>
            <w:vAlign w:val="center"/>
          </w:tcPr>
          <w:p>
            <w:pPr>
              <w:spacing w:line="360" w:lineRule="exact"/>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序号</w:t>
            </w:r>
          </w:p>
        </w:tc>
        <w:tc>
          <w:tcPr>
            <w:tcW w:w="4109" w:type="dxa"/>
            <w:gridSpan w:val="2"/>
            <w:noWrap w:val="0"/>
            <w:vAlign w:val="center"/>
          </w:tcPr>
          <w:p>
            <w:pPr>
              <w:spacing w:line="360" w:lineRule="exact"/>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标的名称</w:t>
            </w:r>
          </w:p>
        </w:tc>
        <w:tc>
          <w:tcPr>
            <w:tcW w:w="884" w:type="dxa"/>
            <w:noWrap w:val="0"/>
            <w:vAlign w:val="center"/>
          </w:tcPr>
          <w:p>
            <w:pPr>
              <w:spacing w:line="360" w:lineRule="exact"/>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数量</w:t>
            </w:r>
          </w:p>
        </w:tc>
        <w:tc>
          <w:tcPr>
            <w:tcW w:w="1012" w:type="dxa"/>
            <w:noWrap w:val="0"/>
            <w:vAlign w:val="center"/>
          </w:tcPr>
          <w:p>
            <w:pPr>
              <w:spacing w:line="360" w:lineRule="exact"/>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单位</w:t>
            </w:r>
          </w:p>
        </w:tc>
        <w:tc>
          <w:tcPr>
            <w:tcW w:w="1390" w:type="dxa"/>
            <w:noWrap w:val="0"/>
            <w:vAlign w:val="center"/>
          </w:tcPr>
          <w:p>
            <w:pPr>
              <w:spacing w:line="360" w:lineRule="exact"/>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单价最高限价</w:t>
            </w:r>
          </w:p>
        </w:tc>
        <w:tc>
          <w:tcPr>
            <w:tcW w:w="808" w:type="dxa"/>
            <w:noWrap w:val="0"/>
            <w:vAlign w:val="center"/>
          </w:tcPr>
          <w:p>
            <w:pPr>
              <w:spacing w:line="360" w:lineRule="exact"/>
              <w:jc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所属行业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794" w:type="dxa"/>
            <w:vMerge w:val="restart"/>
            <w:noWrap w:val="0"/>
            <w:vAlign w:val="center"/>
          </w:tcPr>
          <w:p>
            <w:pPr>
              <w:spacing w:line="3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p>
            <w:pPr>
              <w:spacing w:line="360" w:lineRule="exact"/>
              <w:jc w:val="center"/>
              <w:rPr>
                <w:rFonts w:hint="eastAsia" w:ascii="宋体" w:hAnsi="宋体" w:eastAsia="宋体" w:cs="宋体"/>
                <w:color w:val="auto"/>
                <w:sz w:val="24"/>
                <w:szCs w:val="24"/>
                <w:highlight w:val="none"/>
              </w:rPr>
            </w:pPr>
          </w:p>
        </w:tc>
        <w:tc>
          <w:tcPr>
            <w:tcW w:w="819" w:type="dxa"/>
            <w:vMerge w:val="restart"/>
            <w:noWrap w:val="0"/>
            <w:vAlign w:val="center"/>
          </w:tcPr>
          <w:p>
            <w:pPr>
              <w:spacing w:line="3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军训服套装</w:t>
            </w:r>
          </w:p>
        </w:tc>
        <w:tc>
          <w:tcPr>
            <w:tcW w:w="3290" w:type="dxa"/>
            <w:noWrap w:val="0"/>
            <w:vAlign w:val="center"/>
          </w:tcPr>
          <w:p>
            <w:pPr>
              <w:spacing w:line="3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迷彩帽</w:t>
            </w:r>
          </w:p>
        </w:tc>
        <w:tc>
          <w:tcPr>
            <w:tcW w:w="884" w:type="dxa"/>
            <w:noWrap w:val="0"/>
            <w:vAlign w:val="center"/>
          </w:tcPr>
          <w:p>
            <w:pPr>
              <w:spacing w:line="3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012" w:type="dxa"/>
            <w:noWrap w:val="0"/>
            <w:vAlign w:val="center"/>
          </w:tcPr>
          <w:p>
            <w:pPr>
              <w:spacing w:line="3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顶</w:t>
            </w:r>
          </w:p>
        </w:tc>
        <w:tc>
          <w:tcPr>
            <w:tcW w:w="1390" w:type="dxa"/>
            <w:vMerge w:val="restart"/>
            <w:noWrap w:val="0"/>
            <w:vAlign w:val="center"/>
          </w:tcPr>
          <w:p>
            <w:pPr>
              <w:spacing w:line="3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120元/套</w:t>
            </w:r>
          </w:p>
        </w:tc>
        <w:tc>
          <w:tcPr>
            <w:tcW w:w="808" w:type="dxa"/>
            <w:vMerge w:val="restart"/>
            <w:noWrap w:val="0"/>
            <w:vAlign w:val="center"/>
          </w:tcPr>
          <w:p>
            <w:pPr>
              <w:spacing w:line="360" w:lineRule="exact"/>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工业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trPr>
        <w:tc>
          <w:tcPr>
            <w:tcW w:w="794" w:type="dxa"/>
            <w:vMerge w:val="continue"/>
            <w:noWrap w:val="0"/>
            <w:vAlign w:val="center"/>
          </w:tcPr>
          <w:p>
            <w:pPr>
              <w:spacing w:line="360" w:lineRule="exact"/>
              <w:jc w:val="center"/>
              <w:rPr>
                <w:rFonts w:hint="eastAsia" w:ascii="宋体" w:hAnsi="宋体" w:eastAsia="宋体" w:cs="宋体"/>
                <w:color w:val="auto"/>
                <w:sz w:val="24"/>
                <w:szCs w:val="24"/>
                <w:highlight w:val="none"/>
              </w:rPr>
            </w:pPr>
          </w:p>
        </w:tc>
        <w:tc>
          <w:tcPr>
            <w:tcW w:w="819" w:type="dxa"/>
            <w:vMerge w:val="continue"/>
            <w:noWrap w:val="0"/>
            <w:vAlign w:val="center"/>
          </w:tcPr>
          <w:p>
            <w:pPr>
              <w:spacing w:line="360" w:lineRule="exact"/>
              <w:jc w:val="center"/>
              <w:rPr>
                <w:rFonts w:hint="eastAsia" w:ascii="宋体" w:hAnsi="宋体" w:eastAsia="宋体" w:cs="宋体"/>
                <w:color w:val="auto"/>
                <w:sz w:val="24"/>
                <w:szCs w:val="24"/>
                <w:highlight w:val="none"/>
              </w:rPr>
            </w:pPr>
          </w:p>
        </w:tc>
        <w:tc>
          <w:tcPr>
            <w:tcW w:w="3290" w:type="dxa"/>
            <w:noWrap w:val="0"/>
            <w:vAlign w:val="center"/>
          </w:tcPr>
          <w:p>
            <w:pPr>
              <w:spacing w:line="3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长袖迷彩军训服（含上衣、下装）</w:t>
            </w:r>
          </w:p>
        </w:tc>
        <w:tc>
          <w:tcPr>
            <w:tcW w:w="884" w:type="dxa"/>
            <w:noWrap w:val="0"/>
            <w:vAlign w:val="center"/>
          </w:tcPr>
          <w:p>
            <w:pPr>
              <w:spacing w:line="3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012" w:type="dxa"/>
            <w:noWrap w:val="0"/>
            <w:vAlign w:val="center"/>
          </w:tcPr>
          <w:p>
            <w:pPr>
              <w:spacing w:line="3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390" w:type="dxa"/>
            <w:vMerge w:val="continue"/>
            <w:noWrap w:val="0"/>
            <w:vAlign w:val="center"/>
          </w:tcPr>
          <w:p>
            <w:pPr>
              <w:spacing w:line="360" w:lineRule="exact"/>
              <w:ind w:firstLine="560" w:firstLineChars="200"/>
              <w:jc w:val="center"/>
              <w:rPr>
                <w:rFonts w:hint="eastAsia" w:ascii="宋体" w:hAnsi="宋体" w:eastAsia="宋体" w:cs="宋体"/>
                <w:color w:val="auto"/>
                <w:sz w:val="28"/>
                <w:szCs w:val="28"/>
                <w:highlight w:val="none"/>
              </w:rPr>
            </w:pPr>
          </w:p>
        </w:tc>
        <w:tc>
          <w:tcPr>
            <w:tcW w:w="808" w:type="dxa"/>
            <w:vMerge w:val="continue"/>
            <w:noWrap w:val="0"/>
            <w:vAlign w:val="center"/>
          </w:tcPr>
          <w:p>
            <w:pPr>
              <w:spacing w:line="360" w:lineRule="exact"/>
              <w:ind w:firstLine="560" w:firstLineChars="200"/>
              <w:jc w:val="center"/>
              <w:rPr>
                <w:rFonts w:hint="eastAsia" w:ascii="宋体" w:hAnsi="宋体" w:eastAsia="宋体" w:cs="宋体"/>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794" w:type="dxa"/>
            <w:vMerge w:val="continue"/>
            <w:noWrap w:val="0"/>
            <w:vAlign w:val="center"/>
          </w:tcPr>
          <w:p>
            <w:pPr>
              <w:spacing w:line="360" w:lineRule="exact"/>
              <w:jc w:val="center"/>
              <w:rPr>
                <w:rFonts w:hint="eastAsia" w:ascii="宋体" w:hAnsi="宋体" w:eastAsia="宋体" w:cs="宋体"/>
                <w:color w:val="auto"/>
                <w:sz w:val="24"/>
                <w:szCs w:val="24"/>
                <w:highlight w:val="none"/>
              </w:rPr>
            </w:pPr>
          </w:p>
        </w:tc>
        <w:tc>
          <w:tcPr>
            <w:tcW w:w="819" w:type="dxa"/>
            <w:vMerge w:val="continue"/>
            <w:noWrap w:val="0"/>
            <w:vAlign w:val="center"/>
          </w:tcPr>
          <w:p>
            <w:pPr>
              <w:spacing w:line="360" w:lineRule="exact"/>
              <w:jc w:val="center"/>
              <w:rPr>
                <w:rFonts w:hint="eastAsia" w:ascii="宋体" w:hAnsi="宋体" w:eastAsia="宋体" w:cs="宋体"/>
                <w:color w:val="auto"/>
                <w:sz w:val="24"/>
                <w:szCs w:val="24"/>
                <w:highlight w:val="none"/>
              </w:rPr>
            </w:pPr>
          </w:p>
        </w:tc>
        <w:tc>
          <w:tcPr>
            <w:tcW w:w="3290" w:type="dxa"/>
            <w:noWrap w:val="0"/>
            <w:vAlign w:val="center"/>
          </w:tcPr>
          <w:p>
            <w:pPr>
              <w:spacing w:line="3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迷彩T恤</w:t>
            </w:r>
          </w:p>
        </w:tc>
        <w:tc>
          <w:tcPr>
            <w:tcW w:w="884" w:type="dxa"/>
            <w:noWrap w:val="0"/>
            <w:vAlign w:val="center"/>
          </w:tcPr>
          <w:p>
            <w:pPr>
              <w:spacing w:line="3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012" w:type="dxa"/>
            <w:noWrap w:val="0"/>
            <w:vAlign w:val="center"/>
          </w:tcPr>
          <w:p>
            <w:pPr>
              <w:spacing w:line="3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件</w:t>
            </w:r>
          </w:p>
        </w:tc>
        <w:tc>
          <w:tcPr>
            <w:tcW w:w="1390" w:type="dxa"/>
            <w:vMerge w:val="continue"/>
            <w:noWrap w:val="0"/>
            <w:vAlign w:val="center"/>
          </w:tcPr>
          <w:p>
            <w:pPr>
              <w:spacing w:line="360" w:lineRule="exact"/>
              <w:ind w:firstLine="560" w:firstLineChars="200"/>
              <w:jc w:val="center"/>
              <w:rPr>
                <w:rFonts w:hint="eastAsia" w:ascii="宋体" w:hAnsi="宋体" w:eastAsia="宋体" w:cs="宋体"/>
                <w:color w:val="auto"/>
                <w:sz w:val="28"/>
                <w:szCs w:val="28"/>
                <w:highlight w:val="none"/>
              </w:rPr>
            </w:pPr>
          </w:p>
        </w:tc>
        <w:tc>
          <w:tcPr>
            <w:tcW w:w="808" w:type="dxa"/>
            <w:vMerge w:val="continue"/>
            <w:noWrap w:val="0"/>
            <w:vAlign w:val="center"/>
          </w:tcPr>
          <w:p>
            <w:pPr>
              <w:spacing w:line="360" w:lineRule="exact"/>
              <w:ind w:firstLine="560" w:firstLineChars="200"/>
              <w:jc w:val="center"/>
              <w:rPr>
                <w:rFonts w:hint="eastAsia" w:ascii="宋体" w:hAnsi="宋体" w:eastAsia="宋体" w:cs="宋体"/>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794" w:type="dxa"/>
            <w:vMerge w:val="continue"/>
            <w:noWrap w:val="0"/>
            <w:vAlign w:val="center"/>
          </w:tcPr>
          <w:p>
            <w:pPr>
              <w:spacing w:line="360" w:lineRule="exact"/>
              <w:jc w:val="center"/>
              <w:rPr>
                <w:rFonts w:hint="eastAsia" w:ascii="宋体" w:hAnsi="宋体" w:eastAsia="宋体" w:cs="宋体"/>
                <w:color w:val="auto"/>
                <w:sz w:val="24"/>
                <w:szCs w:val="24"/>
                <w:highlight w:val="none"/>
              </w:rPr>
            </w:pPr>
          </w:p>
        </w:tc>
        <w:tc>
          <w:tcPr>
            <w:tcW w:w="819" w:type="dxa"/>
            <w:vMerge w:val="continue"/>
            <w:noWrap w:val="0"/>
            <w:vAlign w:val="center"/>
          </w:tcPr>
          <w:p>
            <w:pPr>
              <w:spacing w:line="360" w:lineRule="exact"/>
              <w:jc w:val="center"/>
              <w:rPr>
                <w:rFonts w:hint="eastAsia" w:ascii="宋体" w:hAnsi="宋体" w:eastAsia="宋体" w:cs="宋体"/>
                <w:color w:val="auto"/>
                <w:sz w:val="24"/>
                <w:szCs w:val="24"/>
                <w:highlight w:val="none"/>
              </w:rPr>
            </w:pPr>
          </w:p>
        </w:tc>
        <w:tc>
          <w:tcPr>
            <w:tcW w:w="3290" w:type="dxa"/>
            <w:noWrap w:val="0"/>
            <w:vAlign w:val="center"/>
          </w:tcPr>
          <w:p>
            <w:pPr>
              <w:spacing w:line="3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编织外腰带</w:t>
            </w:r>
          </w:p>
        </w:tc>
        <w:tc>
          <w:tcPr>
            <w:tcW w:w="884" w:type="dxa"/>
            <w:noWrap w:val="0"/>
            <w:vAlign w:val="center"/>
          </w:tcPr>
          <w:p>
            <w:pPr>
              <w:spacing w:line="3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012" w:type="dxa"/>
            <w:noWrap w:val="0"/>
            <w:vAlign w:val="center"/>
          </w:tcPr>
          <w:p>
            <w:pPr>
              <w:spacing w:line="3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根</w:t>
            </w:r>
          </w:p>
        </w:tc>
        <w:tc>
          <w:tcPr>
            <w:tcW w:w="1390" w:type="dxa"/>
            <w:vMerge w:val="continue"/>
            <w:noWrap w:val="0"/>
            <w:vAlign w:val="center"/>
          </w:tcPr>
          <w:p>
            <w:pPr>
              <w:spacing w:line="360" w:lineRule="exact"/>
              <w:ind w:firstLine="560" w:firstLineChars="200"/>
              <w:jc w:val="center"/>
              <w:rPr>
                <w:rFonts w:hint="eastAsia" w:ascii="宋体" w:hAnsi="宋体" w:eastAsia="宋体" w:cs="宋体"/>
                <w:color w:val="auto"/>
                <w:sz w:val="28"/>
                <w:szCs w:val="28"/>
                <w:highlight w:val="none"/>
              </w:rPr>
            </w:pPr>
          </w:p>
        </w:tc>
        <w:tc>
          <w:tcPr>
            <w:tcW w:w="808" w:type="dxa"/>
            <w:vMerge w:val="continue"/>
            <w:noWrap w:val="0"/>
            <w:vAlign w:val="center"/>
          </w:tcPr>
          <w:p>
            <w:pPr>
              <w:spacing w:line="360" w:lineRule="exact"/>
              <w:ind w:firstLine="560" w:firstLineChars="200"/>
              <w:jc w:val="center"/>
              <w:rPr>
                <w:rFonts w:hint="eastAsia" w:ascii="宋体" w:hAnsi="宋体" w:eastAsia="宋体" w:cs="宋体"/>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94" w:type="dxa"/>
            <w:vMerge w:val="continue"/>
            <w:noWrap w:val="0"/>
            <w:vAlign w:val="center"/>
          </w:tcPr>
          <w:p>
            <w:pPr>
              <w:spacing w:line="360" w:lineRule="exact"/>
              <w:jc w:val="center"/>
              <w:rPr>
                <w:rFonts w:hint="eastAsia" w:ascii="宋体" w:hAnsi="宋体" w:eastAsia="宋体" w:cs="宋体"/>
                <w:color w:val="auto"/>
                <w:sz w:val="24"/>
                <w:szCs w:val="24"/>
                <w:highlight w:val="none"/>
              </w:rPr>
            </w:pPr>
          </w:p>
        </w:tc>
        <w:tc>
          <w:tcPr>
            <w:tcW w:w="819" w:type="dxa"/>
            <w:vMerge w:val="continue"/>
            <w:noWrap w:val="0"/>
            <w:vAlign w:val="center"/>
          </w:tcPr>
          <w:p>
            <w:pPr>
              <w:spacing w:line="360" w:lineRule="exact"/>
              <w:jc w:val="center"/>
              <w:rPr>
                <w:rFonts w:hint="eastAsia" w:ascii="宋体" w:hAnsi="宋体" w:eastAsia="宋体" w:cs="宋体"/>
                <w:color w:val="auto"/>
                <w:sz w:val="24"/>
                <w:szCs w:val="24"/>
                <w:highlight w:val="none"/>
              </w:rPr>
            </w:pPr>
          </w:p>
        </w:tc>
        <w:tc>
          <w:tcPr>
            <w:tcW w:w="3290" w:type="dxa"/>
            <w:noWrap w:val="0"/>
            <w:vAlign w:val="center"/>
          </w:tcPr>
          <w:p>
            <w:pPr>
              <w:spacing w:line="3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迷彩胶鞋</w:t>
            </w:r>
          </w:p>
        </w:tc>
        <w:tc>
          <w:tcPr>
            <w:tcW w:w="884" w:type="dxa"/>
            <w:noWrap w:val="0"/>
            <w:vAlign w:val="center"/>
          </w:tcPr>
          <w:p>
            <w:pPr>
              <w:spacing w:line="3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012" w:type="dxa"/>
            <w:noWrap w:val="0"/>
            <w:vAlign w:val="center"/>
          </w:tcPr>
          <w:p>
            <w:pPr>
              <w:spacing w:line="3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双</w:t>
            </w:r>
          </w:p>
        </w:tc>
        <w:tc>
          <w:tcPr>
            <w:tcW w:w="1390" w:type="dxa"/>
            <w:vMerge w:val="continue"/>
            <w:noWrap w:val="0"/>
            <w:vAlign w:val="center"/>
          </w:tcPr>
          <w:p>
            <w:pPr>
              <w:spacing w:line="360" w:lineRule="exact"/>
              <w:jc w:val="center"/>
              <w:rPr>
                <w:rFonts w:hint="eastAsia" w:ascii="宋体" w:hAnsi="宋体" w:eastAsia="宋体" w:cs="宋体"/>
                <w:color w:val="auto"/>
                <w:sz w:val="28"/>
                <w:szCs w:val="28"/>
                <w:highlight w:val="none"/>
              </w:rPr>
            </w:pPr>
          </w:p>
        </w:tc>
        <w:tc>
          <w:tcPr>
            <w:tcW w:w="808" w:type="dxa"/>
            <w:vMerge w:val="continue"/>
            <w:noWrap w:val="0"/>
            <w:vAlign w:val="center"/>
          </w:tcPr>
          <w:p>
            <w:pPr>
              <w:spacing w:line="360" w:lineRule="exact"/>
              <w:jc w:val="center"/>
              <w:rPr>
                <w:rFonts w:hint="eastAsia" w:ascii="宋体" w:hAnsi="宋体" w:eastAsia="宋体" w:cs="宋体"/>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94" w:type="dxa"/>
            <w:vMerge w:val="continue"/>
            <w:noWrap w:val="0"/>
            <w:vAlign w:val="center"/>
          </w:tcPr>
          <w:p>
            <w:pPr>
              <w:spacing w:line="360" w:lineRule="exact"/>
              <w:jc w:val="center"/>
              <w:rPr>
                <w:rFonts w:hint="eastAsia" w:ascii="宋体" w:hAnsi="宋体" w:eastAsia="宋体" w:cs="宋体"/>
                <w:color w:val="auto"/>
                <w:sz w:val="24"/>
                <w:szCs w:val="24"/>
                <w:highlight w:val="none"/>
              </w:rPr>
            </w:pPr>
          </w:p>
        </w:tc>
        <w:tc>
          <w:tcPr>
            <w:tcW w:w="819" w:type="dxa"/>
            <w:vMerge w:val="continue"/>
            <w:noWrap w:val="0"/>
            <w:vAlign w:val="center"/>
          </w:tcPr>
          <w:p>
            <w:pPr>
              <w:spacing w:line="360" w:lineRule="exact"/>
              <w:jc w:val="center"/>
              <w:rPr>
                <w:rFonts w:hint="eastAsia" w:ascii="宋体" w:hAnsi="宋体" w:eastAsia="宋体" w:cs="宋体"/>
                <w:color w:val="auto"/>
                <w:sz w:val="24"/>
                <w:szCs w:val="24"/>
                <w:highlight w:val="none"/>
              </w:rPr>
            </w:pPr>
          </w:p>
        </w:tc>
        <w:tc>
          <w:tcPr>
            <w:tcW w:w="3290" w:type="dxa"/>
            <w:noWrap w:val="0"/>
            <w:vAlign w:val="center"/>
          </w:tcPr>
          <w:p>
            <w:pPr>
              <w:spacing w:line="3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皮内腰带</w:t>
            </w:r>
          </w:p>
        </w:tc>
        <w:tc>
          <w:tcPr>
            <w:tcW w:w="884" w:type="dxa"/>
            <w:noWrap w:val="0"/>
            <w:vAlign w:val="center"/>
          </w:tcPr>
          <w:p>
            <w:pPr>
              <w:spacing w:line="3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012" w:type="dxa"/>
            <w:noWrap w:val="0"/>
            <w:vAlign w:val="center"/>
          </w:tcPr>
          <w:p>
            <w:pPr>
              <w:spacing w:line="3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根</w:t>
            </w:r>
          </w:p>
        </w:tc>
        <w:tc>
          <w:tcPr>
            <w:tcW w:w="1390" w:type="dxa"/>
            <w:vMerge w:val="continue"/>
            <w:noWrap w:val="0"/>
            <w:vAlign w:val="center"/>
          </w:tcPr>
          <w:p>
            <w:pPr>
              <w:spacing w:line="360" w:lineRule="exact"/>
              <w:ind w:firstLine="560" w:firstLineChars="200"/>
              <w:jc w:val="center"/>
              <w:rPr>
                <w:rFonts w:hint="eastAsia" w:ascii="宋体" w:hAnsi="宋体" w:eastAsia="宋体" w:cs="宋体"/>
                <w:color w:val="auto"/>
                <w:sz w:val="28"/>
                <w:szCs w:val="28"/>
                <w:highlight w:val="none"/>
              </w:rPr>
            </w:pPr>
          </w:p>
        </w:tc>
        <w:tc>
          <w:tcPr>
            <w:tcW w:w="808" w:type="dxa"/>
            <w:vMerge w:val="continue"/>
            <w:noWrap w:val="0"/>
            <w:vAlign w:val="center"/>
          </w:tcPr>
          <w:p>
            <w:pPr>
              <w:spacing w:line="360" w:lineRule="exact"/>
              <w:ind w:firstLine="560" w:firstLineChars="200"/>
              <w:jc w:val="center"/>
              <w:rPr>
                <w:rFonts w:hint="eastAsia" w:ascii="宋体" w:hAnsi="宋体" w:eastAsia="宋体" w:cs="宋体"/>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794" w:type="dxa"/>
            <w:vMerge w:val="continue"/>
            <w:noWrap w:val="0"/>
            <w:vAlign w:val="center"/>
          </w:tcPr>
          <w:p>
            <w:pPr>
              <w:spacing w:line="360" w:lineRule="exact"/>
              <w:jc w:val="center"/>
              <w:rPr>
                <w:rFonts w:hint="eastAsia" w:ascii="宋体" w:hAnsi="宋体" w:eastAsia="宋体" w:cs="宋体"/>
                <w:color w:val="auto"/>
                <w:sz w:val="24"/>
                <w:szCs w:val="24"/>
                <w:highlight w:val="none"/>
              </w:rPr>
            </w:pPr>
          </w:p>
        </w:tc>
        <w:tc>
          <w:tcPr>
            <w:tcW w:w="819" w:type="dxa"/>
            <w:vMerge w:val="continue"/>
            <w:noWrap w:val="0"/>
            <w:vAlign w:val="center"/>
          </w:tcPr>
          <w:p>
            <w:pPr>
              <w:spacing w:line="360" w:lineRule="exact"/>
              <w:jc w:val="center"/>
              <w:rPr>
                <w:rFonts w:hint="eastAsia" w:ascii="宋体" w:hAnsi="宋体" w:eastAsia="宋体" w:cs="宋体"/>
                <w:color w:val="auto"/>
                <w:sz w:val="24"/>
                <w:szCs w:val="24"/>
                <w:highlight w:val="none"/>
              </w:rPr>
            </w:pPr>
          </w:p>
        </w:tc>
        <w:tc>
          <w:tcPr>
            <w:tcW w:w="3290" w:type="dxa"/>
            <w:noWrap w:val="0"/>
            <w:vAlign w:val="center"/>
          </w:tcPr>
          <w:p>
            <w:pPr>
              <w:spacing w:line="3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肩章</w:t>
            </w:r>
          </w:p>
        </w:tc>
        <w:tc>
          <w:tcPr>
            <w:tcW w:w="884" w:type="dxa"/>
            <w:noWrap w:val="0"/>
            <w:vAlign w:val="center"/>
          </w:tcPr>
          <w:p>
            <w:pPr>
              <w:spacing w:line="3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012" w:type="dxa"/>
            <w:noWrap w:val="0"/>
            <w:vAlign w:val="center"/>
          </w:tcPr>
          <w:p>
            <w:pPr>
              <w:spacing w:line="3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副</w:t>
            </w:r>
          </w:p>
        </w:tc>
        <w:tc>
          <w:tcPr>
            <w:tcW w:w="1390" w:type="dxa"/>
            <w:vMerge w:val="continue"/>
            <w:noWrap w:val="0"/>
            <w:vAlign w:val="center"/>
          </w:tcPr>
          <w:p>
            <w:pPr>
              <w:spacing w:line="360" w:lineRule="exact"/>
              <w:ind w:firstLine="560" w:firstLineChars="200"/>
              <w:jc w:val="center"/>
              <w:rPr>
                <w:rFonts w:hint="eastAsia" w:ascii="宋体" w:hAnsi="宋体" w:eastAsia="宋体" w:cs="宋体"/>
                <w:color w:val="auto"/>
                <w:sz w:val="28"/>
                <w:szCs w:val="28"/>
                <w:highlight w:val="none"/>
              </w:rPr>
            </w:pPr>
          </w:p>
        </w:tc>
        <w:tc>
          <w:tcPr>
            <w:tcW w:w="808" w:type="dxa"/>
            <w:vMerge w:val="continue"/>
            <w:noWrap w:val="0"/>
            <w:vAlign w:val="center"/>
          </w:tcPr>
          <w:p>
            <w:pPr>
              <w:spacing w:line="360" w:lineRule="exact"/>
              <w:ind w:firstLine="560" w:firstLineChars="200"/>
              <w:jc w:val="center"/>
              <w:rPr>
                <w:rFonts w:hint="eastAsia" w:ascii="宋体" w:hAnsi="宋体" w:eastAsia="宋体" w:cs="宋体"/>
                <w:color w:val="auto"/>
                <w:sz w:val="28"/>
                <w:szCs w:val="28"/>
                <w:highlight w:val="none"/>
              </w:rPr>
            </w:pPr>
          </w:p>
        </w:tc>
      </w:tr>
    </w:tbl>
    <w:p>
      <w:pPr>
        <w:keepNext/>
        <w:keepLines/>
        <w:widowControl w:val="0"/>
        <w:numPr>
          <w:ilvl w:val="0"/>
          <w:numId w:val="5"/>
        </w:numPr>
        <w:spacing w:before="340" w:after="330" w:line="240" w:lineRule="auto"/>
        <w:outlineLvl w:val="1"/>
        <w:rPr>
          <w:rFonts w:hint="eastAsia" w:ascii="宋体" w:hAnsi="宋体" w:eastAsia="宋体" w:cs="Times New Roman"/>
          <w:b/>
          <w:bCs/>
          <w:color w:val="auto"/>
          <w:kern w:val="44"/>
          <w:sz w:val="23"/>
          <w:szCs w:val="23"/>
          <w:highlight w:val="none"/>
          <w:lang w:val="en-US" w:eastAsia="zh-CN"/>
        </w:rPr>
      </w:pPr>
      <w:bookmarkStart w:id="167" w:name="_Toc8745"/>
      <w:r>
        <w:rPr>
          <w:rFonts w:hint="eastAsia" w:ascii="宋体" w:hAnsi="宋体" w:eastAsia="宋体" w:cs="Times New Roman"/>
          <w:b/>
          <w:bCs/>
          <w:color w:val="auto"/>
          <w:kern w:val="44"/>
          <w:sz w:val="23"/>
          <w:szCs w:val="23"/>
          <w:highlight w:val="none"/>
          <w:lang w:val="en-US" w:eastAsia="zh-CN"/>
        </w:rPr>
        <w:t>技术要求（功能和质量要求）</w:t>
      </w:r>
      <w:bookmarkEnd w:id="167"/>
    </w:p>
    <w:tbl>
      <w:tblPr>
        <w:tblStyle w:val="18"/>
        <w:tblpPr w:leftFromText="180" w:rightFromText="180" w:vertAnchor="text" w:horzAnchor="page" w:tblpX="1618" w:tblpY="310"/>
        <w:tblOverlap w:val="never"/>
        <w:tblW w:w="93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4"/>
        <w:gridCol w:w="777"/>
        <w:gridCol w:w="1121"/>
        <w:gridCol w:w="66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4" w:type="dxa"/>
            <w:noWrap w:val="0"/>
            <w:vAlign w:val="center"/>
          </w:tcPr>
          <w:p>
            <w:pPr>
              <w:spacing w:line="360" w:lineRule="exact"/>
              <w:jc w:val="center"/>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序号</w:t>
            </w:r>
          </w:p>
        </w:tc>
        <w:tc>
          <w:tcPr>
            <w:tcW w:w="1898" w:type="dxa"/>
            <w:gridSpan w:val="2"/>
            <w:noWrap w:val="0"/>
            <w:vAlign w:val="center"/>
          </w:tcPr>
          <w:p>
            <w:pPr>
              <w:spacing w:line="360" w:lineRule="exact"/>
              <w:jc w:val="center"/>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标的名称</w:t>
            </w:r>
          </w:p>
        </w:tc>
        <w:tc>
          <w:tcPr>
            <w:tcW w:w="6677" w:type="dxa"/>
            <w:noWrap w:val="0"/>
            <w:vAlign w:val="center"/>
          </w:tcPr>
          <w:p>
            <w:pPr>
              <w:spacing w:line="360" w:lineRule="exact"/>
              <w:jc w:val="center"/>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技术参数及要求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6" w:hRule="atLeast"/>
        </w:trPr>
        <w:tc>
          <w:tcPr>
            <w:tcW w:w="784" w:type="dxa"/>
            <w:vMerge w:val="restart"/>
            <w:noWrap w:val="0"/>
            <w:vAlign w:val="center"/>
          </w:tcPr>
          <w:p>
            <w:pPr>
              <w:spacing w:line="36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p>
          <w:p>
            <w:pPr>
              <w:spacing w:line="360" w:lineRule="exact"/>
              <w:jc w:val="center"/>
              <w:rPr>
                <w:rFonts w:hint="eastAsia" w:ascii="仿宋" w:hAnsi="仿宋" w:eastAsia="仿宋" w:cs="仿宋"/>
                <w:color w:val="auto"/>
                <w:sz w:val="24"/>
                <w:highlight w:val="none"/>
              </w:rPr>
            </w:pPr>
          </w:p>
        </w:tc>
        <w:tc>
          <w:tcPr>
            <w:tcW w:w="777" w:type="dxa"/>
            <w:vMerge w:val="restart"/>
            <w:noWrap w:val="0"/>
            <w:vAlign w:val="center"/>
          </w:tcPr>
          <w:p>
            <w:pPr>
              <w:spacing w:line="36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军训服套装</w:t>
            </w:r>
          </w:p>
        </w:tc>
        <w:tc>
          <w:tcPr>
            <w:tcW w:w="1121" w:type="dxa"/>
            <w:noWrap w:val="0"/>
            <w:vAlign w:val="center"/>
          </w:tcPr>
          <w:p>
            <w:pPr>
              <w:spacing w:line="36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迷彩帽</w:t>
            </w:r>
          </w:p>
        </w:tc>
        <w:tc>
          <w:tcPr>
            <w:tcW w:w="6677" w:type="dxa"/>
            <w:noWrap w:val="0"/>
            <w:vAlign w:val="center"/>
          </w:tcPr>
          <w:p>
            <w:pPr>
              <w:spacing w:line="320" w:lineRule="exact"/>
              <w:jc w:val="left"/>
              <w:rPr>
                <w:rFonts w:hint="eastAsia" w:ascii="仿宋" w:hAnsi="仿宋" w:eastAsia="仿宋" w:cs="仿宋"/>
                <w:bCs/>
                <w:color w:val="auto"/>
                <w:kern w:val="0"/>
                <w:sz w:val="24"/>
                <w:highlight w:val="none"/>
              </w:rPr>
            </w:pPr>
            <w:r>
              <w:rPr>
                <w:rFonts w:hint="eastAsia" w:ascii="仿宋" w:hAnsi="仿宋" w:eastAsia="仿宋" w:cs="仿宋"/>
                <w:color w:val="auto"/>
                <w:sz w:val="24"/>
                <w:highlight w:val="none"/>
              </w:rPr>
              <w:t>★</w:t>
            </w:r>
            <w:r>
              <w:rPr>
                <w:rFonts w:hint="eastAsia" w:ascii="仿宋" w:hAnsi="仿宋" w:eastAsia="仿宋" w:cs="仿宋"/>
                <w:bCs/>
                <w:color w:val="auto"/>
                <w:kern w:val="0"/>
                <w:sz w:val="24"/>
                <w:highlight w:val="none"/>
              </w:rPr>
              <w:t>1.面料：</w:t>
            </w:r>
            <w:r>
              <w:rPr>
                <w:rFonts w:hint="eastAsia" w:ascii="仿宋" w:hAnsi="仿宋" w:eastAsia="仿宋" w:cs="仿宋"/>
                <w:color w:val="auto"/>
                <w:sz w:val="24"/>
                <w:highlight w:val="none"/>
              </w:rPr>
              <w:t>涤棉面料，含棉</w:t>
            </w:r>
            <w:r>
              <w:rPr>
                <w:rFonts w:hint="eastAsia" w:ascii="仿宋" w:hAnsi="仿宋" w:eastAsia="仿宋" w:cs="仿宋"/>
                <w:color w:val="auto"/>
                <w:sz w:val="24"/>
                <w:highlight w:val="none"/>
                <w:lang w:eastAsia="zh-CN"/>
              </w:rPr>
              <w:t>量大于</w:t>
            </w:r>
            <w:r>
              <w:rPr>
                <w:rFonts w:hint="eastAsia" w:ascii="仿宋" w:hAnsi="仿宋" w:eastAsia="仿宋" w:cs="仿宋"/>
                <w:color w:val="auto"/>
                <w:sz w:val="24"/>
                <w:highlight w:val="none"/>
                <w:lang w:val="en-US" w:eastAsia="zh-CN"/>
              </w:rPr>
              <w:t xml:space="preserve"> </w:t>
            </w:r>
            <w:r>
              <w:rPr>
                <w:rFonts w:hint="eastAsia" w:ascii="仿宋" w:hAnsi="仿宋" w:eastAsia="仿宋" w:cs="仿宋"/>
                <w:color w:val="auto"/>
                <w:sz w:val="24"/>
                <w:highlight w:val="none"/>
              </w:rPr>
              <w:t>3</w:t>
            </w:r>
            <w:r>
              <w:rPr>
                <w:rFonts w:hint="eastAsia" w:ascii="仿宋" w:hAnsi="仿宋" w:eastAsia="仿宋" w:cs="仿宋"/>
                <w:color w:val="auto"/>
                <w:sz w:val="24"/>
                <w:highlight w:val="none"/>
                <w:lang w:val="en-US" w:eastAsia="zh-CN"/>
              </w:rPr>
              <w:t>0</w:t>
            </w:r>
            <w:r>
              <w:rPr>
                <w:rFonts w:hint="eastAsia" w:ascii="仿宋" w:hAnsi="仿宋" w:eastAsia="仿宋" w:cs="仿宋"/>
                <w:color w:val="auto"/>
                <w:sz w:val="24"/>
                <w:highlight w:val="none"/>
              </w:rPr>
              <w:t>%；面料缩水率不高于 0.5%；</w:t>
            </w:r>
            <w:r>
              <w:rPr>
                <w:rFonts w:hint="eastAsia" w:ascii="仿宋" w:hAnsi="仿宋" w:eastAsia="仿宋" w:cs="仿宋"/>
                <w:bCs/>
                <w:color w:val="auto"/>
                <w:kern w:val="0"/>
                <w:sz w:val="24"/>
                <w:highlight w:val="none"/>
              </w:rPr>
              <w:t>透气性好，不褪色，易干。</w:t>
            </w:r>
          </w:p>
          <w:p>
            <w:pPr>
              <w:spacing w:line="320" w:lineRule="exact"/>
              <w:jc w:val="left"/>
              <w:rPr>
                <w:rFonts w:hint="eastAsia" w:ascii="仿宋" w:hAnsi="仿宋" w:eastAsia="仿宋" w:cs="仿宋"/>
                <w:bCs/>
                <w:color w:val="auto"/>
                <w:kern w:val="0"/>
                <w:sz w:val="24"/>
                <w:highlight w:val="none"/>
              </w:rPr>
            </w:pPr>
            <w:r>
              <w:rPr>
                <w:rFonts w:hint="eastAsia" w:ascii="仿宋" w:hAnsi="仿宋" w:eastAsia="仿宋" w:cs="仿宋"/>
                <w:bCs/>
                <w:color w:val="auto"/>
                <w:kern w:val="0"/>
                <w:sz w:val="24"/>
                <w:highlight w:val="none"/>
              </w:rPr>
              <w:t>2.款式：大檐帽，平顶，短檐，有帽徽。</w:t>
            </w:r>
          </w:p>
          <w:p>
            <w:pPr>
              <w:spacing w:line="320" w:lineRule="exact"/>
              <w:jc w:val="left"/>
              <w:rPr>
                <w:rFonts w:hint="eastAsia" w:ascii="仿宋" w:hAnsi="仿宋" w:eastAsia="仿宋" w:cs="仿宋"/>
                <w:bCs/>
                <w:color w:val="auto"/>
                <w:kern w:val="0"/>
                <w:sz w:val="24"/>
                <w:highlight w:val="none"/>
              </w:rPr>
            </w:pPr>
            <w:r>
              <w:rPr>
                <w:rFonts w:hint="eastAsia" w:ascii="仿宋" w:hAnsi="仿宋" w:eastAsia="仿宋" w:cs="仿宋"/>
                <w:bCs/>
                <w:color w:val="auto"/>
                <w:kern w:val="0"/>
                <w:sz w:val="24"/>
                <w:highlight w:val="none"/>
              </w:rPr>
              <w:t>3.做工：微孔透气，帽檐坚固缝线牢实。</w:t>
            </w:r>
          </w:p>
          <w:p>
            <w:pPr>
              <w:spacing w:line="360" w:lineRule="exact"/>
              <w:jc w:val="left"/>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rPr>
              <w:t>★</w:t>
            </w:r>
            <w:r>
              <w:rPr>
                <w:rFonts w:hint="eastAsia" w:ascii="仿宋" w:hAnsi="仿宋" w:eastAsia="仿宋" w:cs="仿宋"/>
                <w:bCs/>
                <w:color w:val="auto"/>
                <w:kern w:val="0"/>
                <w:sz w:val="24"/>
                <w:highlight w:val="none"/>
              </w:rPr>
              <w:t>4.符合《</w:t>
            </w:r>
            <w:r>
              <w:rPr>
                <w:rFonts w:hint="eastAsia" w:ascii="仿宋" w:hAnsi="仿宋" w:eastAsia="仿宋" w:cs="仿宋"/>
                <w:bCs/>
                <w:color w:val="auto"/>
                <w:kern w:val="0"/>
                <w:sz w:val="24"/>
                <w:highlight w:val="none"/>
                <w:lang w:eastAsia="zh-CN"/>
              </w:rPr>
              <w:t>国家纺织产品基本安全技术规范</w:t>
            </w:r>
            <w:r>
              <w:rPr>
                <w:rFonts w:hint="eastAsia" w:ascii="仿宋" w:hAnsi="仿宋" w:eastAsia="仿宋" w:cs="仿宋"/>
                <w:bCs/>
                <w:color w:val="auto"/>
                <w:kern w:val="0"/>
                <w:sz w:val="24"/>
                <w:highlight w:val="none"/>
              </w:rPr>
              <w:t>》GB18401-2010中的</w:t>
            </w:r>
            <w:r>
              <w:rPr>
                <w:rFonts w:hint="eastAsia" w:ascii="仿宋" w:hAnsi="仿宋" w:eastAsia="仿宋" w:cs="仿宋"/>
                <w:bCs/>
                <w:color w:val="auto"/>
                <w:kern w:val="0"/>
                <w:sz w:val="24"/>
                <w:highlight w:val="none"/>
                <w:lang w:val="en-US" w:eastAsia="zh-CN"/>
              </w:rPr>
              <w:t>B</w:t>
            </w:r>
            <w:r>
              <w:rPr>
                <w:rFonts w:hint="eastAsia" w:ascii="仿宋" w:hAnsi="仿宋" w:eastAsia="仿宋" w:cs="仿宋"/>
                <w:bCs/>
                <w:color w:val="auto"/>
                <w:kern w:val="0"/>
                <w:sz w:val="24"/>
                <w:highlight w:val="none"/>
              </w:rPr>
              <w:t>类标准。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4" w:hRule="atLeast"/>
        </w:trPr>
        <w:tc>
          <w:tcPr>
            <w:tcW w:w="784" w:type="dxa"/>
            <w:vMerge w:val="continue"/>
            <w:noWrap w:val="0"/>
            <w:vAlign w:val="center"/>
          </w:tcPr>
          <w:p>
            <w:pPr>
              <w:spacing w:line="360" w:lineRule="exact"/>
              <w:jc w:val="center"/>
              <w:rPr>
                <w:rFonts w:hint="eastAsia" w:ascii="仿宋" w:hAnsi="仿宋" w:eastAsia="仿宋" w:cs="仿宋"/>
                <w:color w:val="auto"/>
                <w:sz w:val="24"/>
                <w:highlight w:val="none"/>
              </w:rPr>
            </w:pPr>
          </w:p>
        </w:tc>
        <w:tc>
          <w:tcPr>
            <w:tcW w:w="777" w:type="dxa"/>
            <w:vMerge w:val="continue"/>
            <w:noWrap w:val="0"/>
            <w:vAlign w:val="center"/>
          </w:tcPr>
          <w:p>
            <w:pPr>
              <w:spacing w:line="360" w:lineRule="exact"/>
              <w:jc w:val="center"/>
              <w:rPr>
                <w:rFonts w:hint="eastAsia" w:ascii="仿宋" w:hAnsi="仿宋" w:eastAsia="仿宋" w:cs="仿宋"/>
                <w:color w:val="auto"/>
                <w:sz w:val="24"/>
                <w:highlight w:val="none"/>
              </w:rPr>
            </w:pPr>
          </w:p>
        </w:tc>
        <w:tc>
          <w:tcPr>
            <w:tcW w:w="1121" w:type="dxa"/>
            <w:noWrap w:val="0"/>
            <w:vAlign w:val="center"/>
          </w:tcPr>
          <w:p>
            <w:pPr>
              <w:spacing w:line="36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长袖迷彩军训服（含上衣、下装）</w:t>
            </w:r>
          </w:p>
        </w:tc>
        <w:tc>
          <w:tcPr>
            <w:tcW w:w="6677" w:type="dxa"/>
            <w:noWrap w:val="0"/>
            <w:vAlign w:val="center"/>
          </w:tcPr>
          <w:p>
            <w:pPr>
              <w:spacing w:line="36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r>
              <w:rPr>
                <w:rFonts w:hint="eastAsia" w:ascii="仿宋" w:hAnsi="仿宋" w:eastAsia="仿宋" w:cs="仿宋"/>
                <w:bCs/>
                <w:color w:val="auto"/>
                <w:kern w:val="0"/>
                <w:sz w:val="24"/>
                <w:highlight w:val="none"/>
              </w:rPr>
              <w:t>面料</w:t>
            </w:r>
            <w:r>
              <w:rPr>
                <w:rFonts w:hint="eastAsia" w:ascii="仿宋" w:hAnsi="仿宋" w:eastAsia="仿宋" w:cs="仿宋"/>
                <w:color w:val="auto"/>
                <w:sz w:val="24"/>
                <w:highlight w:val="none"/>
              </w:rPr>
              <w:t>：涤棉面料，含棉</w:t>
            </w:r>
            <w:r>
              <w:rPr>
                <w:rFonts w:hint="eastAsia" w:ascii="仿宋" w:hAnsi="仿宋" w:eastAsia="仿宋" w:cs="仿宋"/>
                <w:color w:val="auto"/>
                <w:sz w:val="24"/>
                <w:highlight w:val="none"/>
                <w:lang w:eastAsia="zh-CN"/>
              </w:rPr>
              <w:t>量大于</w:t>
            </w:r>
            <w:r>
              <w:rPr>
                <w:rFonts w:hint="eastAsia" w:ascii="仿宋" w:hAnsi="仿宋" w:eastAsia="仿宋" w:cs="仿宋"/>
                <w:color w:val="auto"/>
                <w:sz w:val="24"/>
                <w:highlight w:val="none"/>
              </w:rPr>
              <w:t>3</w:t>
            </w:r>
            <w:r>
              <w:rPr>
                <w:rFonts w:hint="eastAsia" w:ascii="仿宋" w:hAnsi="仿宋" w:eastAsia="仿宋" w:cs="仿宋"/>
                <w:color w:val="auto"/>
                <w:sz w:val="24"/>
                <w:highlight w:val="none"/>
                <w:lang w:val="en-US" w:eastAsia="zh-CN"/>
              </w:rPr>
              <w:t>0</w:t>
            </w:r>
            <w:r>
              <w:rPr>
                <w:rFonts w:hint="eastAsia" w:ascii="仿宋" w:hAnsi="仿宋" w:eastAsia="仿宋" w:cs="仿宋"/>
                <w:color w:val="auto"/>
                <w:sz w:val="24"/>
                <w:highlight w:val="none"/>
              </w:rPr>
              <w:t>%；面料缩水率不高于 0.5%；不褪色，易干，质地轻盈，透气性强，吸汗；数码迷彩。</w:t>
            </w:r>
          </w:p>
          <w:p>
            <w:pPr>
              <w:spacing w:line="36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2.款式：可自由调节袖口、裤脚。</w:t>
            </w:r>
          </w:p>
          <w:p>
            <w:pPr>
              <w:spacing w:line="36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3.做工：服装做工精细，不崩线，钮扣缝线牢实，拉链灵活，结合牢靠不掉齿。</w:t>
            </w:r>
          </w:p>
          <w:p>
            <w:pPr>
              <w:spacing w:line="36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★4.</w:t>
            </w:r>
            <w:r>
              <w:rPr>
                <w:rFonts w:hint="eastAsia" w:ascii="仿宋" w:hAnsi="仿宋" w:eastAsia="仿宋" w:cs="仿宋"/>
                <w:bCs/>
                <w:color w:val="auto"/>
                <w:kern w:val="0"/>
                <w:sz w:val="24"/>
                <w:highlight w:val="none"/>
              </w:rPr>
              <w:t>符合《</w:t>
            </w:r>
            <w:r>
              <w:rPr>
                <w:rFonts w:hint="eastAsia" w:ascii="仿宋" w:hAnsi="仿宋" w:eastAsia="仿宋" w:cs="仿宋"/>
                <w:bCs/>
                <w:color w:val="auto"/>
                <w:kern w:val="0"/>
                <w:sz w:val="24"/>
                <w:highlight w:val="none"/>
                <w:lang w:eastAsia="zh-CN"/>
              </w:rPr>
              <w:t>国家纺织产品基本安全技术规范</w:t>
            </w:r>
            <w:r>
              <w:rPr>
                <w:rFonts w:hint="eastAsia" w:ascii="仿宋" w:hAnsi="仿宋" w:eastAsia="仿宋" w:cs="仿宋"/>
                <w:bCs/>
                <w:color w:val="auto"/>
                <w:kern w:val="0"/>
                <w:sz w:val="24"/>
                <w:highlight w:val="none"/>
              </w:rPr>
              <w:t>》GB18401-2010中的</w:t>
            </w:r>
            <w:r>
              <w:rPr>
                <w:rFonts w:hint="eastAsia" w:ascii="仿宋" w:hAnsi="仿宋" w:eastAsia="仿宋" w:cs="仿宋"/>
                <w:bCs/>
                <w:color w:val="auto"/>
                <w:kern w:val="0"/>
                <w:sz w:val="24"/>
                <w:highlight w:val="none"/>
                <w:lang w:val="en-US" w:eastAsia="zh-CN"/>
              </w:rPr>
              <w:t>B</w:t>
            </w:r>
            <w:r>
              <w:rPr>
                <w:rFonts w:hint="eastAsia" w:ascii="仿宋" w:hAnsi="仿宋" w:eastAsia="仿宋" w:cs="仿宋"/>
                <w:bCs/>
                <w:color w:val="auto"/>
                <w:kern w:val="0"/>
                <w:sz w:val="24"/>
                <w:highlight w:val="none"/>
              </w:rPr>
              <w:t>类标准</w:t>
            </w:r>
            <w:r>
              <w:rPr>
                <w:rFonts w:hint="eastAsia" w:ascii="仿宋" w:hAnsi="仿宋" w:eastAsia="仿宋" w:cs="仿宋"/>
                <w:color w:val="auto"/>
                <w:sz w:val="24"/>
                <w:highlight w:val="none"/>
              </w:rPr>
              <w:t>。</w:t>
            </w:r>
          </w:p>
          <w:p>
            <w:pPr>
              <w:spacing w:line="360" w:lineRule="exact"/>
              <w:rPr>
                <w:rFonts w:hint="eastAsia"/>
              </w:rPr>
            </w:pPr>
            <w:r>
              <w:rPr>
                <w:rFonts w:hint="eastAsia" w:ascii="仿宋" w:hAnsi="仿宋" w:eastAsia="仿宋" w:cs="仿宋"/>
                <w:color w:val="auto"/>
                <w:sz w:val="24"/>
                <w:highlight w:val="none"/>
              </w:rPr>
              <w:t>5.其他：具抗皱免烫性能，耐穿耐磨。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8" w:hRule="atLeast"/>
        </w:trPr>
        <w:tc>
          <w:tcPr>
            <w:tcW w:w="784" w:type="dxa"/>
            <w:vMerge w:val="continue"/>
            <w:noWrap w:val="0"/>
            <w:vAlign w:val="center"/>
          </w:tcPr>
          <w:p>
            <w:pPr>
              <w:spacing w:line="360" w:lineRule="exact"/>
              <w:jc w:val="center"/>
              <w:rPr>
                <w:rFonts w:hint="eastAsia" w:ascii="仿宋" w:hAnsi="仿宋" w:eastAsia="仿宋" w:cs="仿宋"/>
                <w:color w:val="auto"/>
                <w:sz w:val="24"/>
                <w:highlight w:val="none"/>
              </w:rPr>
            </w:pPr>
          </w:p>
        </w:tc>
        <w:tc>
          <w:tcPr>
            <w:tcW w:w="777" w:type="dxa"/>
            <w:vMerge w:val="continue"/>
            <w:noWrap w:val="0"/>
            <w:vAlign w:val="center"/>
          </w:tcPr>
          <w:p>
            <w:pPr>
              <w:spacing w:line="360" w:lineRule="exact"/>
              <w:jc w:val="center"/>
              <w:rPr>
                <w:rFonts w:hint="eastAsia" w:ascii="仿宋" w:hAnsi="仿宋" w:eastAsia="仿宋" w:cs="仿宋"/>
                <w:color w:val="auto"/>
                <w:sz w:val="24"/>
                <w:highlight w:val="none"/>
              </w:rPr>
            </w:pPr>
          </w:p>
        </w:tc>
        <w:tc>
          <w:tcPr>
            <w:tcW w:w="1121" w:type="dxa"/>
            <w:noWrap w:val="0"/>
            <w:vAlign w:val="center"/>
          </w:tcPr>
          <w:p>
            <w:pPr>
              <w:spacing w:line="36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迷彩</w:t>
            </w:r>
          </w:p>
          <w:p>
            <w:pPr>
              <w:spacing w:line="36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T恤</w:t>
            </w:r>
          </w:p>
        </w:tc>
        <w:tc>
          <w:tcPr>
            <w:tcW w:w="6677" w:type="dxa"/>
            <w:noWrap w:val="0"/>
            <w:vAlign w:val="center"/>
          </w:tcPr>
          <w:p>
            <w:pPr>
              <w:spacing w:line="36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★1.面料：含棉100%，手感柔软，不褪色，易干，质地轻盈，透气性强，吸汗。</w:t>
            </w:r>
          </w:p>
          <w:p>
            <w:pPr>
              <w:spacing w:line="36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2.款式：圆领；短袖。</w:t>
            </w:r>
          </w:p>
          <w:p>
            <w:pPr>
              <w:spacing w:line="36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3.做工：服装做工精细，不崩线。 </w:t>
            </w:r>
          </w:p>
          <w:p>
            <w:pPr>
              <w:spacing w:line="360" w:lineRule="exact"/>
              <w:jc w:val="left"/>
              <w:rPr>
                <w:rFonts w:hint="eastAsia"/>
              </w:rPr>
            </w:pPr>
            <w:r>
              <w:rPr>
                <w:rFonts w:hint="eastAsia" w:ascii="仿宋" w:hAnsi="仿宋" w:eastAsia="仿宋" w:cs="仿宋"/>
                <w:color w:val="auto"/>
                <w:sz w:val="24"/>
                <w:highlight w:val="none"/>
              </w:rPr>
              <w:t>★4.</w:t>
            </w:r>
            <w:r>
              <w:rPr>
                <w:rFonts w:hint="eastAsia" w:ascii="仿宋" w:hAnsi="仿宋" w:eastAsia="仿宋" w:cs="仿宋"/>
                <w:bCs/>
                <w:color w:val="auto"/>
                <w:kern w:val="0"/>
                <w:sz w:val="24"/>
                <w:highlight w:val="none"/>
              </w:rPr>
              <w:t>符合《</w:t>
            </w:r>
            <w:r>
              <w:rPr>
                <w:rFonts w:hint="eastAsia" w:ascii="仿宋" w:hAnsi="仿宋" w:eastAsia="仿宋" w:cs="仿宋"/>
                <w:bCs/>
                <w:color w:val="auto"/>
                <w:kern w:val="0"/>
                <w:sz w:val="24"/>
                <w:highlight w:val="none"/>
                <w:lang w:eastAsia="zh-CN"/>
              </w:rPr>
              <w:t>国家纺织产品基本安全技术规范</w:t>
            </w:r>
            <w:r>
              <w:rPr>
                <w:rFonts w:hint="eastAsia" w:ascii="仿宋" w:hAnsi="仿宋" w:eastAsia="仿宋" w:cs="仿宋"/>
                <w:bCs/>
                <w:color w:val="auto"/>
                <w:kern w:val="0"/>
                <w:sz w:val="24"/>
                <w:highlight w:val="none"/>
              </w:rPr>
              <w:t>》GB18401-2010中的B类标准</w:t>
            </w:r>
            <w:r>
              <w:rPr>
                <w:rFonts w:hint="eastAsia" w:ascii="仿宋" w:hAnsi="仿宋" w:eastAsia="仿宋" w:cs="仿宋"/>
                <w:color w:val="auto"/>
                <w:sz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trPr>
        <w:tc>
          <w:tcPr>
            <w:tcW w:w="784" w:type="dxa"/>
            <w:vMerge w:val="continue"/>
            <w:noWrap w:val="0"/>
            <w:vAlign w:val="center"/>
          </w:tcPr>
          <w:p>
            <w:pPr>
              <w:spacing w:line="360" w:lineRule="exact"/>
              <w:jc w:val="center"/>
              <w:rPr>
                <w:rFonts w:hint="eastAsia" w:ascii="仿宋" w:hAnsi="仿宋" w:eastAsia="仿宋" w:cs="仿宋"/>
                <w:color w:val="auto"/>
                <w:sz w:val="24"/>
                <w:highlight w:val="none"/>
              </w:rPr>
            </w:pPr>
          </w:p>
        </w:tc>
        <w:tc>
          <w:tcPr>
            <w:tcW w:w="777" w:type="dxa"/>
            <w:vMerge w:val="continue"/>
            <w:noWrap w:val="0"/>
            <w:vAlign w:val="center"/>
          </w:tcPr>
          <w:p>
            <w:pPr>
              <w:spacing w:line="360" w:lineRule="exact"/>
              <w:jc w:val="center"/>
              <w:rPr>
                <w:rFonts w:hint="eastAsia" w:ascii="仿宋" w:hAnsi="仿宋" w:eastAsia="仿宋" w:cs="仿宋"/>
                <w:color w:val="auto"/>
                <w:sz w:val="24"/>
                <w:highlight w:val="none"/>
              </w:rPr>
            </w:pPr>
          </w:p>
        </w:tc>
        <w:tc>
          <w:tcPr>
            <w:tcW w:w="1121" w:type="dxa"/>
            <w:noWrap w:val="0"/>
            <w:vAlign w:val="center"/>
          </w:tcPr>
          <w:p>
            <w:pPr>
              <w:spacing w:line="36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编织外腰带</w:t>
            </w:r>
          </w:p>
        </w:tc>
        <w:tc>
          <w:tcPr>
            <w:tcW w:w="6677" w:type="dxa"/>
            <w:noWrap w:val="0"/>
            <w:vAlign w:val="center"/>
          </w:tcPr>
          <w:p>
            <w:pPr>
              <w:spacing w:line="36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★1.尼龙编织物、塑料扣头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trPr>
        <w:tc>
          <w:tcPr>
            <w:tcW w:w="784" w:type="dxa"/>
            <w:vMerge w:val="continue"/>
            <w:noWrap w:val="0"/>
            <w:vAlign w:val="center"/>
          </w:tcPr>
          <w:p>
            <w:pPr>
              <w:spacing w:line="360" w:lineRule="exact"/>
              <w:jc w:val="center"/>
              <w:rPr>
                <w:rFonts w:hint="eastAsia" w:ascii="仿宋" w:hAnsi="仿宋" w:eastAsia="仿宋" w:cs="仿宋"/>
                <w:color w:val="auto"/>
                <w:sz w:val="24"/>
                <w:highlight w:val="none"/>
              </w:rPr>
            </w:pPr>
          </w:p>
        </w:tc>
        <w:tc>
          <w:tcPr>
            <w:tcW w:w="777" w:type="dxa"/>
            <w:vMerge w:val="continue"/>
            <w:noWrap w:val="0"/>
            <w:vAlign w:val="center"/>
          </w:tcPr>
          <w:p>
            <w:pPr>
              <w:spacing w:line="360" w:lineRule="exact"/>
              <w:jc w:val="center"/>
              <w:rPr>
                <w:rFonts w:hint="eastAsia" w:ascii="仿宋" w:hAnsi="仿宋" w:eastAsia="仿宋" w:cs="仿宋"/>
                <w:color w:val="auto"/>
                <w:sz w:val="24"/>
                <w:highlight w:val="none"/>
              </w:rPr>
            </w:pPr>
          </w:p>
        </w:tc>
        <w:tc>
          <w:tcPr>
            <w:tcW w:w="1121" w:type="dxa"/>
            <w:noWrap w:val="0"/>
            <w:vAlign w:val="center"/>
          </w:tcPr>
          <w:p>
            <w:pPr>
              <w:spacing w:line="36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迷彩</w:t>
            </w:r>
          </w:p>
          <w:p>
            <w:pPr>
              <w:spacing w:line="36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胶鞋</w:t>
            </w:r>
          </w:p>
        </w:tc>
        <w:tc>
          <w:tcPr>
            <w:tcW w:w="6677" w:type="dxa"/>
            <w:noWrap w:val="0"/>
            <w:vAlign w:val="center"/>
          </w:tcPr>
          <w:p>
            <w:pPr>
              <w:spacing w:line="36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★1.帆布面料、橡胶鞋底</w:t>
            </w:r>
          </w:p>
          <w:p>
            <w:pPr>
              <w:spacing w:line="36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2.不得使用再生橡胶底，拉伸强度≥8.0MPa,扯断伸长率（%）≥360，硬度（绍尔A）度≤75，围条与鞋帮粘附强度≥2.0Kn/m。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trPr>
        <w:tc>
          <w:tcPr>
            <w:tcW w:w="784" w:type="dxa"/>
            <w:vMerge w:val="continue"/>
            <w:noWrap w:val="0"/>
            <w:vAlign w:val="center"/>
          </w:tcPr>
          <w:p>
            <w:pPr>
              <w:spacing w:line="360" w:lineRule="exact"/>
              <w:jc w:val="center"/>
              <w:rPr>
                <w:rFonts w:hint="eastAsia" w:ascii="仿宋" w:hAnsi="仿宋" w:eastAsia="仿宋" w:cs="仿宋"/>
                <w:color w:val="auto"/>
                <w:sz w:val="24"/>
                <w:highlight w:val="none"/>
              </w:rPr>
            </w:pPr>
          </w:p>
        </w:tc>
        <w:tc>
          <w:tcPr>
            <w:tcW w:w="777" w:type="dxa"/>
            <w:vMerge w:val="continue"/>
            <w:noWrap w:val="0"/>
            <w:vAlign w:val="center"/>
          </w:tcPr>
          <w:p>
            <w:pPr>
              <w:spacing w:line="360" w:lineRule="exact"/>
              <w:jc w:val="center"/>
              <w:rPr>
                <w:rFonts w:hint="eastAsia" w:ascii="仿宋" w:hAnsi="仿宋" w:eastAsia="仿宋" w:cs="仿宋"/>
                <w:color w:val="auto"/>
                <w:sz w:val="24"/>
                <w:highlight w:val="none"/>
              </w:rPr>
            </w:pPr>
          </w:p>
        </w:tc>
        <w:tc>
          <w:tcPr>
            <w:tcW w:w="1121" w:type="dxa"/>
            <w:noWrap w:val="0"/>
            <w:vAlign w:val="center"/>
          </w:tcPr>
          <w:p>
            <w:pPr>
              <w:spacing w:line="36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皮内</w:t>
            </w:r>
          </w:p>
          <w:p>
            <w:pPr>
              <w:spacing w:line="36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腰带</w:t>
            </w:r>
          </w:p>
        </w:tc>
        <w:tc>
          <w:tcPr>
            <w:tcW w:w="6677" w:type="dxa"/>
            <w:noWrap w:val="0"/>
            <w:vAlign w:val="center"/>
          </w:tcPr>
          <w:p>
            <w:pPr>
              <w:spacing w:line="36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★1.人造仿皮质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trPr>
        <w:tc>
          <w:tcPr>
            <w:tcW w:w="784" w:type="dxa"/>
            <w:vMerge w:val="continue"/>
            <w:noWrap w:val="0"/>
            <w:vAlign w:val="center"/>
          </w:tcPr>
          <w:p>
            <w:pPr>
              <w:spacing w:line="360" w:lineRule="exact"/>
              <w:jc w:val="center"/>
              <w:rPr>
                <w:rFonts w:hint="eastAsia" w:ascii="仿宋" w:hAnsi="仿宋" w:eastAsia="仿宋" w:cs="仿宋"/>
                <w:color w:val="auto"/>
                <w:sz w:val="24"/>
                <w:highlight w:val="none"/>
              </w:rPr>
            </w:pPr>
          </w:p>
        </w:tc>
        <w:tc>
          <w:tcPr>
            <w:tcW w:w="777" w:type="dxa"/>
            <w:vMerge w:val="continue"/>
            <w:noWrap w:val="0"/>
            <w:vAlign w:val="center"/>
          </w:tcPr>
          <w:p>
            <w:pPr>
              <w:spacing w:line="360" w:lineRule="exact"/>
              <w:jc w:val="center"/>
              <w:rPr>
                <w:rFonts w:hint="eastAsia" w:ascii="仿宋" w:hAnsi="仿宋" w:eastAsia="仿宋" w:cs="仿宋"/>
                <w:color w:val="auto"/>
                <w:sz w:val="24"/>
                <w:highlight w:val="none"/>
              </w:rPr>
            </w:pPr>
          </w:p>
        </w:tc>
        <w:tc>
          <w:tcPr>
            <w:tcW w:w="1121" w:type="dxa"/>
            <w:noWrap w:val="0"/>
            <w:vAlign w:val="center"/>
          </w:tcPr>
          <w:p>
            <w:pPr>
              <w:spacing w:line="36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肩章</w:t>
            </w:r>
          </w:p>
        </w:tc>
        <w:tc>
          <w:tcPr>
            <w:tcW w:w="6677" w:type="dxa"/>
            <w:noWrap w:val="0"/>
            <w:vAlign w:val="center"/>
          </w:tcPr>
          <w:p>
            <w:pPr>
              <w:spacing w:line="36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eastAsia="zh-CN"/>
              </w:rPr>
              <w:t>技师</w:t>
            </w:r>
            <w:r>
              <w:rPr>
                <w:rFonts w:hint="eastAsia" w:ascii="仿宋" w:hAnsi="仿宋" w:eastAsia="仿宋" w:cs="仿宋"/>
                <w:color w:val="auto"/>
                <w:sz w:val="24"/>
                <w:highlight w:val="none"/>
              </w:rPr>
              <w:t>(红硬肩章)、</w:t>
            </w:r>
            <w:r>
              <w:rPr>
                <w:rFonts w:hint="eastAsia" w:ascii="仿宋" w:hAnsi="仿宋" w:eastAsia="仿宋" w:cs="仿宋"/>
                <w:color w:val="auto"/>
                <w:sz w:val="24"/>
                <w:highlight w:val="none"/>
                <w:lang w:eastAsia="zh-CN"/>
              </w:rPr>
              <w:t>工贸</w:t>
            </w:r>
            <w:r>
              <w:rPr>
                <w:rFonts w:hint="eastAsia" w:ascii="仿宋" w:hAnsi="仿宋" w:eastAsia="仿宋" w:cs="仿宋"/>
                <w:color w:val="auto"/>
                <w:sz w:val="24"/>
                <w:highlight w:val="none"/>
              </w:rPr>
              <w:t>（绿硬肩章）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9359" w:type="dxa"/>
            <w:gridSpan w:val="4"/>
            <w:noWrap w:val="0"/>
            <w:vAlign w:val="center"/>
          </w:tcPr>
          <w:p>
            <w:pPr>
              <w:spacing w:line="36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备注：</w:t>
            </w:r>
            <w:r>
              <w:rPr>
                <w:rFonts w:hint="eastAsia" w:ascii="仿宋" w:hAnsi="仿宋" w:eastAsia="仿宋" w:cs="仿宋"/>
                <w:color w:val="auto"/>
                <w:sz w:val="24"/>
                <w:highlight w:val="none"/>
                <w:lang w:eastAsia="zh-CN"/>
              </w:rPr>
              <w:t>工贸</w:t>
            </w:r>
            <w:r>
              <w:rPr>
                <w:rFonts w:hint="eastAsia" w:ascii="仿宋" w:hAnsi="仿宋" w:eastAsia="仿宋" w:cs="仿宋"/>
                <w:color w:val="auto"/>
                <w:sz w:val="24"/>
                <w:highlight w:val="none"/>
              </w:rPr>
              <w:t>为</w:t>
            </w:r>
            <w:r>
              <w:rPr>
                <w:rFonts w:hint="eastAsia" w:ascii="仿宋" w:hAnsi="仿宋" w:eastAsia="仿宋" w:cs="仿宋"/>
                <w:color w:val="auto"/>
                <w:sz w:val="24"/>
                <w:highlight w:val="none"/>
                <w:lang w:eastAsia="zh-CN"/>
              </w:rPr>
              <w:t>海洋</w:t>
            </w:r>
            <w:r>
              <w:rPr>
                <w:rFonts w:hint="eastAsia" w:ascii="仿宋" w:hAnsi="仿宋" w:eastAsia="仿宋" w:cs="仿宋"/>
                <w:color w:val="auto"/>
                <w:sz w:val="24"/>
                <w:highlight w:val="none"/>
              </w:rPr>
              <w:t>数码迷彩，</w:t>
            </w:r>
            <w:r>
              <w:rPr>
                <w:rFonts w:hint="eastAsia" w:ascii="仿宋" w:hAnsi="仿宋" w:eastAsia="仿宋" w:cs="仿宋"/>
                <w:color w:val="auto"/>
                <w:sz w:val="24"/>
                <w:highlight w:val="none"/>
                <w:lang w:eastAsia="zh-CN"/>
              </w:rPr>
              <w:t>技师</w:t>
            </w:r>
            <w:r>
              <w:rPr>
                <w:rFonts w:hint="eastAsia" w:ascii="仿宋" w:hAnsi="仿宋" w:eastAsia="仿宋" w:cs="仿宋"/>
                <w:color w:val="auto"/>
                <w:sz w:val="24"/>
                <w:highlight w:val="none"/>
              </w:rPr>
              <w:t>为</w:t>
            </w:r>
            <w:r>
              <w:rPr>
                <w:rFonts w:hint="eastAsia" w:ascii="仿宋" w:hAnsi="仿宋" w:eastAsia="仿宋" w:cs="仿宋"/>
                <w:color w:val="auto"/>
                <w:sz w:val="24"/>
                <w:highlight w:val="none"/>
                <w:lang w:eastAsia="zh-CN"/>
              </w:rPr>
              <w:t>林地</w:t>
            </w:r>
            <w:r>
              <w:rPr>
                <w:rFonts w:hint="eastAsia" w:ascii="仿宋" w:hAnsi="仿宋" w:eastAsia="仿宋" w:cs="仿宋"/>
                <w:color w:val="auto"/>
                <w:sz w:val="24"/>
                <w:highlight w:val="none"/>
              </w:rPr>
              <w:t>数码迷彩。</w:t>
            </w:r>
          </w:p>
        </w:tc>
      </w:tr>
    </w:tbl>
    <w:p>
      <w:pPr>
        <w:bidi w:val="0"/>
        <w:spacing w:line="240" w:lineRule="auto"/>
        <w:rPr>
          <w:color w:val="auto"/>
          <w:highlight w:val="none"/>
        </w:rPr>
      </w:pPr>
    </w:p>
    <w:p>
      <w:pPr>
        <w:keepNext/>
        <w:keepLines/>
        <w:widowControl w:val="0"/>
        <w:numPr>
          <w:ilvl w:val="0"/>
          <w:numId w:val="5"/>
        </w:numPr>
        <w:spacing w:before="340" w:after="330" w:line="240" w:lineRule="auto"/>
        <w:outlineLvl w:val="1"/>
        <w:rPr>
          <w:rFonts w:ascii="宋体" w:hAnsi="宋体" w:eastAsia="宋体" w:cs="Times New Roman"/>
          <w:b/>
          <w:bCs/>
          <w:color w:val="auto"/>
          <w:kern w:val="44"/>
          <w:sz w:val="23"/>
          <w:szCs w:val="23"/>
          <w:highlight w:val="none"/>
        </w:rPr>
      </w:pPr>
      <w:bookmarkStart w:id="168" w:name="_Toc30142"/>
      <w:bookmarkStart w:id="169" w:name="_Toc602"/>
      <w:r>
        <w:rPr>
          <w:rFonts w:hint="eastAsia" w:ascii="宋体" w:hAnsi="宋体" w:eastAsia="宋体" w:cs="Times New Roman"/>
          <w:b/>
          <w:bCs/>
          <w:color w:val="auto"/>
          <w:kern w:val="44"/>
          <w:sz w:val="23"/>
          <w:szCs w:val="23"/>
          <w:highlight w:val="none"/>
        </w:rPr>
        <w:t>★商务要求</w:t>
      </w:r>
      <w:bookmarkEnd w:id="168"/>
      <w:bookmarkEnd w:id="169"/>
      <w:r>
        <w:rPr>
          <w:rFonts w:hint="eastAsia" w:ascii="宋体" w:hAnsi="宋体" w:eastAsia="宋体" w:cs="Times New Roman"/>
          <w:b/>
          <w:bCs/>
          <w:color w:val="auto"/>
          <w:kern w:val="44"/>
          <w:sz w:val="23"/>
          <w:szCs w:val="23"/>
          <w:highlight w:val="none"/>
        </w:rPr>
        <w:t xml:space="preserve"> </w:t>
      </w:r>
    </w:p>
    <w:p>
      <w:pPr>
        <w:bidi w:val="0"/>
        <w:spacing w:line="240" w:lineRule="auto"/>
        <w:rPr>
          <w:color w:val="auto"/>
          <w:highlight w:val="none"/>
        </w:rPr>
      </w:pPr>
    </w:p>
    <w:tbl>
      <w:tblPr>
        <w:tblStyle w:val="19"/>
        <w:tblW w:w="87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32"/>
        <w:gridCol w:w="7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1532" w:type="dxa"/>
            <w:noWrap w:val="0"/>
            <w:vAlign w:val="center"/>
          </w:tcPr>
          <w:p>
            <w:pPr>
              <w:adjustRightInd w:val="0"/>
              <w:snapToGrid w:val="0"/>
              <w:spacing w:line="320" w:lineRule="exact"/>
              <w:jc w:val="left"/>
              <w:rPr>
                <w:rFonts w:hint="eastAsia" w:ascii="宋体" w:hAnsi="宋体" w:eastAsia="宋体" w:cs="宋体"/>
                <w:b w:val="0"/>
                <w:bCs/>
                <w:i w:val="0"/>
                <w:iCs w:val="0"/>
                <w:color w:val="auto"/>
                <w:sz w:val="21"/>
                <w:szCs w:val="21"/>
                <w:highlight w:val="none"/>
              </w:rPr>
            </w:pPr>
            <w:r>
              <w:rPr>
                <w:rFonts w:hint="eastAsia" w:ascii="仿宋_GB2312" w:hAnsi="仿宋_GB2312" w:eastAsia="仿宋_GB2312" w:cs="仿宋_GB2312"/>
                <w:bCs/>
                <w:color w:val="auto"/>
                <w:sz w:val="28"/>
                <w:szCs w:val="28"/>
                <w:highlight w:val="none"/>
              </w:rPr>
              <w:t>履行时间（期限）</w:t>
            </w:r>
          </w:p>
        </w:tc>
        <w:tc>
          <w:tcPr>
            <w:tcW w:w="7266" w:type="dxa"/>
            <w:noWrap w:val="0"/>
            <w:vAlign w:val="top"/>
          </w:tcPr>
          <w:p>
            <w:pPr>
              <w:spacing w:line="36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1.履约期：合同签订之日起至202</w:t>
            </w:r>
            <w:r>
              <w:rPr>
                <w:rFonts w:hint="eastAsia" w:ascii="仿宋" w:hAnsi="仿宋" w:eastAsia="仿宋" w:cs="仿宋"/>
                <w:color w:val="auto"/>
                <w:sz w:val="24"/>
                <w:highlight w:val="none"/>
                <w:lang w:val="en-US" w:eastAsia="zh-CN"/>
              </w:rPr>
              <w:t>5</w:t>
            </w:r>
            <w:r>
              <w:rPr>
                <w:rFonts w:hint="eastAsia" w:ascii="仿宋" w:hAnsi="仿宋" w:eastAsia="仿宋" w:cs="仿宋"/>
                <w:color w:val="auto"/>
                <w:sz w:val="24"/>
                <w:highlight w:val="none"/>
              </w:rPr>
              <w:t>年</w:t>
            </w:r>
            <w:r>
              <w:rPr>
                <w:rFonts w:hint="eastAsia" w:ascii="仿宋" w:hAnsi="仿宋" w:eastAsia="仿宋" w:cs="仿宋"/>
                <w:color w:val="auto"/>
                <w:sz w:val="24"/>
                <w:highlight w:val="none"/>
                <w:lang w:val="en-US" w:eastAsia="zh-CN"/>
              </w:rPr>
              <w:t>8</w:t>
            </w:r>
            <w:r>
              <w:rPr>
                <w:rFonts w:hint="eastAsia" w:ascii="仿宋" w:hAnsi="仿宋" w:eastAsia="仿宋" w:cs="仿宋"/>
                <w:color w:val="auto"/>
                <w:sz w:val="24"/>
                <w:highlight w:val="none"/>
              </w:rPr>
              <w:t>月</w:t>
            </w:r>
            <w:r>
              <w:rPr>
                <w:rFonts w:hint="eastAsia" w:ascii="仿宋" w:hAnsi="仿宋" w:eastAsia="仿宋" w:cs="仿宋"/>
                <w:color w:val="auto"/>
                <w:sz w:val="24"/>
                <w:highlight w:val="none"/>
                <w:lang w:val="en-US" w:eastAsia="zh-CN"/>
              </w:rPr>
              <w:t>15</w:t>
            </w:r>
            <w:r>
              <w:rPr>
                <w:rFonts w:hint="eastAsia" w:ascii="仿宋" w:hAnsi="仿宋" w:eastAsia="仿宋" w:cs="仿宋"/>
                <w:color w:val="auto"/>
                <w:sz w:val="24"/>
                <w:highlight w:val="none"/>
              </w:rPr>
              <w:t>日</w:t>
            </w:r>
          </w:p>
          <w:p>
            <w:pPr>
              <w:spacing w:line="36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2.投标人收到</w:t>
            </w:r>
            <w:r>
              <w:rPr>
                <w:rFonts w:hint="eastAsia" w:ascii="仿宋" w:hAnsi="仿宋" w:eastAsia="仿宋" w:cs="仿宋"/>
                <w:color w:val="auto"/>
                <w:sz w:val="24"/>
                <w:highlight w:val="none"/>
                <w:lang w:eastAsia="zh-CN"/>
              </w:rPr>
              <w:t>招标人</w:t>
            </w:r>
            <w:r>
              <w:rPr>
                <w:rFonts w:hint="eastAsia" w:ascii="仿宋" w:hAnsi="仿宋" w:eastAsia="仿宋" w:cs="仿宋"/>
                <w:color w:val="auto"/>
                <w:sz w:val="24"/>
                <w:highlight w:val="none"/>
              </w:rPr>
              <w:t>书面送货通知之日起,根据</w:t>
            </w:r>
            <w:r>
              <w:rPr>
                <w:rFonts w:hint="eastAsia" w:ascii="仿宋" w:hAnsi="仿宋" w:eastAsia="仿宋" w:cs="仿宋"/>
                <w:color w:val="auto"/>
                <w:sz w:val="24"/>
                <w:highlight w:val="none"/>
                <w:lang w:eastAsia="zh-CN"/>
              </w:rPr>
              <w:t>招标人</w:t>
            </w:r>
            <w:r>
              <w:rPr>
                <w:rFonts w:hint="eastAsia" w:ascii="仿宋" w:hAnsi="仿宋" w:eastAsia="仿宋" w:cs="仿宋"/>
                <w:color w:val="auto"/>
                <w:sz w:val="24"/>
                <w:highlight w:val="none"/>
              </w:rPr>
              <w:t>当次所需要的货物品类以及数量,2个工作日内，按照</w:t>
            </w:r>
            <w:r>
              <w:rPr>
                <w:rFonts w:hint="eastAsia" w:ascii="仿宋" w:hAnsi="仿宋" w:eastAsia="仿宋" w:cs="仿宋"/>
                <w:color w:val="auto"/>
                <w:sz w:val="24"/>
                <w:highlight w:val="none"/>
                <w:lang w:eastAsia="zh-CN"/>
              </w:rPr>
              <w:t>招标人</w:t>
            </w:r>
            <w:r>
              <w:rPr>
                <w:rFonts w:hint="eastAsia" w:ascii="仿宋" w:hAnsi="仿宋" w:eastAsia="仿宋" w:cs="仿宋"/>
                <w:color w:val="auto"/>
                <w:sz w:val="24"/>
                <w:highlight w:val="none"/>
              </w:rPr>
              <w:t>的订单配送。</w:t>
            </w:r>
          </w:p>
          <w:p>
            <w:pPr>
              <w:spacing w:line="360" w:lineRule="exact"/>
              <w:jc w:val="left"/>
              <w:rPr>
                <w:rFonts w:hint="eastAsia" w:ascii="宋体" w:hAnsi="宋体" w:eastAsia="宋体" w:cs="宋体"/>
                <w:color w:val="auto"/>
                <w:sz w:val="21"/>
                <w:szCs w:val="21"/>
                <w:highlight w:val="none"/>
              </w:rPr>
            </w:pPr>
            <w:r>
              <w:rPr>
                <w:rFonts w:hint="eastAsia" w:ascii="仿宋" w:hAnsi="仿宋" w:eastAsia="仿宋" w:cs="仿宋"/>
                <w:color w:val="auto"/>
                <w:sz w:val="24"/>
                <w:highlight w:val="none"/>
              </w:rPr>
              <w:t>3.售后服务期为15个日历天，售后服务期的起始日期为学生购买之日起开始计算。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1532" w:type="dxa"/>
            <w:noWrap w:val="0"/>
            <w:vAlign w:val="center"/>
          </w:tcPr>
          <w:p>
            <w:pPr>
              <w:adjustRightInd w:val="0"/>
              <w:snapToGrid w:val="0"/>
              <w:spacing w:line="320" w:lineRule="exact"/>
              <w:jc w:val="center"/>
              <w:rPr>
                <w:rFonts w:hint="eastAsia" w:ascii="宋体" w:hAnsi="宋体" w:eastAsia="宋体" w:cs="宋体"/>
                <w:b w:val="0"/>
                <w:bCs/>
                <w:i w:val="0"/>
                <w:iCs w:val="0"/>
                <w:color w:val="auto"/>
                <w:sz w:val="21"/>
                <w:szCs w:val="21"/>
                <w:highlight w:val="none"/>
              </w:rPr>
            </w:pPr>
            <w:r>
              <w:rPr>
                <w:rFonts w:hint="eastAsia" w:ascii="仿宋_GB2312" w:hAnsi="仿宋_GB2312" w:eastAsia="仿宋_GB2312" w:cs="仿宋_GB2312"/>
                <w:bCs/>
                <w:color w:val="auto"/>
                <w:sz w:val="28"/>
                <w:szCs w:val="28"/>
                <w:highlight w:val="none"/>
              </w:rPr>
              <w:t>履行地点（范围）</w:t>
            </w:r>
          </w:p>
        </w:tc>
        <w:tc>
          <w:tcPr>
            <w:tcW w:w="7266" w:type="dxa"/>
            <w:noWrap w:val="0"/>
            <w:vAlign w:val="top"/>
          </w:tcPr>
          <w:p>
            <w:pPr>
              <w:spacing w:line="36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1.成都市郫都区红光街道港通北三路1899号</w:t>
            </w:r>
          </w:p>
          <w:p>
            <w:pPr>
              <w:spacing w:line="36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2.成都市郫都区红光街道高店路1666号</w:t>
            </w:r>
          </w:p>
          <w:p>
            <w:pPr>
              <w:spacing w:line="36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3.成都市成华区万年街道外东槐树店路32号</w:t>
            </w:r>
          </w:p>
          <w:p>
            <w:pPr>
              <w:spacing w:line="360" w:lineRule="exact"/>
              <w:jc w:val="left"/>
              <w:rPr>
                <w:rFonts w:hint="eastAsia" w:ascii="宋体" w:hAnsi="宋体" w:eastAsia="宋体" w:cs="宋体"/>
                <w:color w:val="auto"/>
                <w:sz w:val="21"/>
                <w:szCs w:val="21"/>
                <w:highlight w:val="none"/>
                <w:lang w:eastAsia="zh-CN"/>
              </w:rPr>
            </w:pPr>
            <w:r>
              <w:rPr>
                <w:rFonts w:hint="eastAsia" w:ascii="仿宋" w:hAnsi="仿宋" w:eastAsia="仿宋" w:cs="仿宋"/>
                <w:color w:val="auto"/>
                <w:sz w:val="24"/>
                <w:highlight w:val="none"/>
              </w:rPr>
              <w:t>4.成都市新都区西北村301号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trPr>
        <w:tc>
          <w:tcPr>
            <w:tcW w:w="1532" w:type="dxa"/>
            <w:noWrap w:val="0"/>
            <w:vAlign w:val="center"/>
          </w:tcPr>
          <w:p>
            <w:pPr>
              <w:adjustRightInd w:val="0"/>
              <w:snapToGrid w:val="0"/>
              <w:spacing w:line="320" w:lineRule="exact"/>
              <w:jc w:val="center"/>
              <w:rPr>
                <w:rFonts w:hint="eastAsia" w:ascii="宋体" w:hAnsi="宋体" w:eastAsia="宋体" w:cs="宋体"/>
                <w:b w:val="0"/>
                <w:bCs/>
                <w:i w:val="0"/>
                <w:iCs w:val="0"/>
                <w:color w:val="auto"/>
                <w:sz w:val="21"/>
                <w:szCs w:val="21"/>
                <w:highlight w:val="none"/>
              </w:rPr>
            </w:pPr>
            <w:r>
              <w:rPr>
                <w:rFonts w:hint="eastAsia" w:ascii="仿宋_GB2312" w:hAnsi="仿宋_GB2312" w:eastAsia="仿宋_GB2312" w:cs="仿宋_GB2312"/>
                <w:bCs/>
                <w:color w:val="auto"/>
                <w:sz w:val="28"/>
                <w:szCs w:val="28"/>
                <w:highlight w:val="none"/>
              </w:rPr>
              <w:t>付款进度安排、资金支付方式</w:t>
            </w:r>
          </w:p>
        </w:tc>
        <w:tc>
          <w:tcPr>
            <w:tcW w:w="7266" w:type="dxa"/>
            <w:noWrap w:val="0"/>
            <w:vAlign w:val="top"/>
          </w:tcPr>
          <w:p>
            <w:pPr>
              <w:spacing w:line="36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1.成交单价为固定包干价格，包括但不限于服装的供货、包装、运输、售后服务（修补、更换）、人工、质检、税费等与完成服装交付的所有费用。</w:t>
            </w:r>
          </w:p>
          <w:p>
            <w:pPr>
              <w:spacing w:line="360" w:lineRule="exact"/>
              <w:jc w:val="left"/>
              <w:rPr>
                <w:rFonts w:hint="eastAsia" w:ascii="宋体" w:hAnsi="宋体" w:eastAsia="宋体" w:cs="宋体"/>
                <w:color w:val="auto"/>
                <w:sz w:val="21"/>
                <w:szCs w:val="21"/>
                <w:highlight w:val="none"/>
              </w:rPr>
            </w:pPr>
            <w:r>
              <w:rPr>
                <w:rFonts w:hint="eastAsia" w:ascii="仿宋" w:hAnsi="仿宋" w:eastAsia="仿宋" w:cs="仿宋"/>
                <w:color w:val="auto"/>
                <w:sz w:val="24"/>
                <w:highlight w:val="none"/>
              </w:rPr>
              <w:t>2.学生在现场可选择微信、支付宝</w:t>
            </w:r>
            <w:r>
              <w:rPr>
                <w:rFonts w:hint="eastAsia" w:ascii="仿宋" w:hAnsi="仿宋" w:eastAsia="仿宋" w:cs="仿宋"/>
                <w:color w:val="auto"/>
                <w:sz w:val="24"/>
                <w:highlight w:val="none"/>
                <w:lang w:val="en-US" w:eastAsia="zh-CN"/>
              </w:rPr>
              <w:t>等非现金形式或</w:t>
            </w:r>
            <w:r>
              <w:rPr>
                <w:rFonts w:hint="eastAsia" w:ascii="仿宋" w:hAnsi="仿宋" w:eastAsia="仿宋" w:cs="仿宋"/>
                <w:color w:val="auto"/>
                <w:sz w:val="24"/>
                <w:highlight w:val="none"/>
              </w:rPr>
              <w:t>现金</w:t>
            </w:r>
            <w:r>
              <w:rPr>
                <w:rFonts w:hint="eastAsia" w:ascii="仿宋" w:hAnsi="仿宋" w:eastAsia="仿宋" w:cs="仿宋"/>
                <w:color w:val="auto"/>
                <w:sz w:val="24"/>
                <w:highlight w:val="none"/>
                <w:lang w:val="en-US" w:eastAsia="zh-CN"/>
              </w:rPr>
              <w:t>形式</w:t>
            </w:r>
            <w:r>
              <w:rPr>
                <w:rFonts w:hint="eastAsia" w:ascii="仿宋" w:hAnsi="仿宋" w:eastAsia="仿宋" w:cs="仿宋"/>
                <w:color w:val="auto"/>
                <w:sz w:val="24"/>
                <w:highlight w:val="none"/>
              </w:rPr>
              <w:t>支付。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trPr>
        <w:tc>
          <w:tcPr>
            <w:tcW w:w="1532" w:type="dxa"/>
            <w:noWrap w:val="0"/>
            <w:vAlign w:val="center"/>
          </w:tcPr>
          <w:p>
            <w:pPr>
              <w:adjustRightInd w:val="0"/>
              <w:snapToGrid w:val="0"/>
              <w:spacing w:line="320" w:lineRule="exact"/>
              <w:jc w:val="center"/>
              <w:rPr>
                <w:rFonts w:hint="eastAsia" w:ascii="宋体" w:hAnsi="宋体" w:eastAsia="宋体" w:cs="宋体"/>
                <w:b w:val="0"/>
                <w:bCs/>
                <w:i w:val="0"/>
                <w:iCs w:val="0"/>
                <w:color w:val="auto"/>
                <w:sz w:val="21"/>
                <w:szCs w:val="21"/>
                <w:highlight w:val="none"/>
              </w:rPr>
            </w:pPr>
            <w:r>
              <w:rPr>
                <w:rFonts w:hint="eastAsia" w:ascii="仿宋_GB2312" w:hAnsi="仿宋_GB2312" w:eastAsia="仿宋_GB2312" w:cs="仿宋_GB2312"/>
                <w:bCs/>
                <w:color w:val="auto"/>
                <w:sz w:val="28"/>
                <w:szCs w:val="28"/>
                <w:highlight w:val="none"/>
              </w:rPr>
              <w:t>质量及供货渠道要求</w:t>
            </w:r>
          </w:p>
        </w:tc>
        <w:tc>
          <w:tcPr>
            <w:tcW w:w="7266" w:type="dxa"/>
            <w:noWrap w:val="0"/>
            <w:vAlign w:val="top"/>
          </w:tcPr>
          <w:p>
            <w:pPr>
              <w:pStyle w:val="8"/>
              <w:spacing w:line="400" w:lineRule="exact"/>
              <w:ind w:firstLine="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1.投标人应保证服装是全新、未使用过的原装合格正品。尺寸符合国家标准，穿着后无皮肤过敏等问题。</w:t>
            </w:r>
          </w:p>
          <w:p>
            <w:pPr>
              <w:adjustRightInd w:val="0"/>
              <w:snapToGrid w:val="0"/>
              <w:spacing w:line="400" w:lineRule="exact"/>
              <w:jc w:val="left"/>
              <w:rPr>
                <w:rFonts w:hint="eastAsia" w:ascii="宋体" w:hAnsi="宋体" w:eastAsia="宋体" w:cs="宋体"/>
                <w:color w:val="auto"/>
                <w:sz w:val="21"/>
                <w:szCs w:val="21"/>
                <w:highlight w:val="none"/>
                <w:lang w:val="en-US" w:eastAsia="zh-CN"/>
              </w:rPr>
            </w:pPr>
            <w:r>
              <w:rPr>
                <w:rFonts w:hint="eastAsia" w:ascii="仿宋" w:hAnsi="仿宋" w:eastAsia="仿宋" w:cs="仿宋"/>
                <w:color w:val="auto"/>
                <w:sz w:val="24"/>
                <w:highlight w:val="none"/>
              </w:rPr>
              <w:t>2.投标人提供的服装必须符合本项目招标文件规定的质量、规格的要求。如果投标人提供的服装的质量或规格与招标文件和投标人的投标文件不符，或证实服装是有缺陷的，包括潜在的缺陷等，投标人应在接到</w:t>
            </w:r>
            <w:r>
              <w:rPr>
                <w:rFonts w:hint="eastAsia" w:ascii="仿宋" w:hAnsi="仿宋" w:eastAsia="仿宋" w:cs="仿宋"/>
                <w:color w:val="auto"/>
                <w:sz w:val="24"/>
                <w:highlight w:val="none"/>
                <w:lang w:eastAsia="zh-CN"/>
              </w:rPr>
              <w:t>招标人</w:t>
            </w:r>
            <w:r>
              <w:rPr>
                <w:rFonts w:hint="eastAsia" w:ascii="仿宋" w:hAnsi="仿宋" w:eastAsia="仿宋" w:cs="仿宋"/>
                <w:color w:val="auto"/>
                <w:sz w:val="24"/>
                <w:highlight w:val="none"/>
              </w:rPr>
              <w:t>通知后12小时内完成换货，因换货产生的费用由投标人承担，如因不合格服装给</w:t>
            </w:r>
            <w:r>
              <w:rPr>
                <w:rFonts w:hint="eastAsia" w:ascii="仿宋" w:hAnsi="仿宋" w:eastAsia="仿宋" w:cs="仿宋"/>
                <w:color w:val="auto"/>
                <w:sz w:val="24"/>
                <w:highlight w:val="none"/>
                <w:lang w:eastAsia="zh-CN"/>
              </w:rPr>
              <w:t>招标人</w:t>
            </w:r>
            <w:r>
              <w:rPr>
                <w:rFonts w:hint="eastAsia" w:ascii="仿宋" w:hAnsi="仿宋" w:eastAsia="仿宋" w:cs="仿宋"/>
                <w:color w:val="auto"/>
                <w:sz w:val="24"/>
                <w:highlight w:val="none"/>
              </w:rPr>
              <w:t>及学生造成损失，投标人还应承担赔偿责任。因服装质量问题产生的质监处罚、医疗缺陷和医疗纠纷</w:t>
            </w:r>
            <w:r>
              <w:rPr>
                <w:rFonts w:hint="eastAsia" w:ascii="仿宋" w:hAnsi="仿宋" w:eastAsia="仿宋" w:cs="仿宋"/>
                <w:color w:val="auto"/>
                <w:sz w:val="24"/>
                <w:highlight w:val="none"/>
                <w:lang w:val="en-US" w:eastAsia="zh-CN"/>
              </w:rPr>
              <w:t>等问题</w:t>
            </w:r>
            <w:r>
              <w:rPr>
                <w:rFonts w:hint="eastAsia" w:ascii="仿宋" w:hAnsi="仿宋" w:eastAsia="仿宋" w:cs="仿宋"/>
                <w:color w:val="auto"/>
                <w:sz w:val="24"/>
                <w:highlight w:val="none"/>
              </w:rPr>
              <w:t>均由投标人负全部经济和法律责任。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532" w:type="dxa"/>
            <w:noWrap w:val="0"/>
            <w:vAlign w:val="center"/>
          </w:tcPr>
          <w:p>
            <w:pPr>
              <w:adjustRightInd w:val="0"/>
              <w:snapToGrid w:val="0"/>
              <w:spacing w:line="320" w:lineRule="exact"/>
              <w:jc w:val="center"/>
              <w:rPr>
                <w:rFonts w:hint="eastAsia" w:ascii="宋体" w:hAnsi="宋体" w:eastAsia="宋体" w:cs="宋体"/>
                <w:b w:val="0"/>
                <w:bCs/>
                <w:i w:val="0"/>
                <w:iCs w:val="0"/>
                <w:color w:val="auto"/>
                <w:sz w:val="21"/>
                <w:szCs w:val="21"/>
                <w:highlight w:val="none"/>
              </w:rPr>
            </w:pPr>
            <w:r>
              <w:rPr>
                <w:rFonts w:hint="eastAsia" w:ascii="仿宋_GB2312" w:hAnsi="仿宋_GB2312" w:eastAsia="仿宋_GB2312" w:cs="仿宋_GB2312"/>
                <w:bCs/>
                <w:color w:val="auto"/>
                <w:sz w:val="28"/>
                <w:szCs w:val="28"/>
                <w:highlight w:val="none"/>
              </w:rPr>
              <w:t>包装和运输要求</w:t>
            </w:r>
          </w:p>
        </w:tc>
        <w:tc>
          <w:tcPr>
            <w:tcW w:w="7266" w:type="dxa"/>
            <w:noWrap w:val="0"/>
            <w:vAlign w:val="top"/>
          </w:tcPr>
          <w:p>
            <w:pPr>
              <w:pStyle w:val="8"/>
              <w:spacing w:line="400" w:lineRule="exact"/>
              <w:ind w:firstLine="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1.投标人严格按照</w:t>
            </w:r>
            <w:r>
              <w:rPr>
                <w:rFonts w:hint="eastAsia" w:ascii="仿宋" w:hAnsi="仿宋" w:eastAsia="仿宋" w:cs="仿宋"/>
                <w:color w:val="auto"/>
                <w:sz w:val="24"/>
                <w:szCs w:val="24"/>
                <w:highlight w:val="none"/>
                <w:lang w:eastAsia="zh-CN"/>
              </w:rPr>
              <w:t>招标人</w:t>
            </w:r>
            <w:r>
              <w:rPr>
                <w:rFonts w:hint="eastAsia" w:ascii="仿宋" w:hAnsi="仿宋" w:eastAsia="仿宋" w:cs="仿宋"/>
                <w:color w:val="auto"/>
                <w:sz w:val="24"/>
                <w:szCs w:val="24"/>
                <w:highlight w:val="none"/>
              </w:rPr>
              <w:t>送货要求按时、按质、按量配送服装，送达</w:t>
            </w:r>
            <w:r>
              <w:rPr>
                <w:rFonts w:hint="eastAsia" w:ascii="仿宋" w:hAnsi="仿宋" w:eastAsia="仿宋" w:cs="仿宋"/>
                <w:color w:val="auto"/>
                <w:sz w:val="24"/>
                <w:szCs w:val="24"/>
                <w:highlight w:val="none"/>
                <w:lang w:eastAsia="zh-CN"/>
              </w:rPr>
              <w:t>招标人</w:t>
            </w:r>
            <w:r>
              <w:rPr>
                <w:rFonts w:hint="eastAsia" w:ascii="仿宋" w:hAnsi="仿宋" w:eastAsia="仿宋" w:cs="仿宋"/>
                <w:color w:val="auto"/>
                <w:sz w:val="24"/>
                <w:szCs w:val="24"/>
                <w:highlight w:val="none"/>
              </w:rPr>
              <w:t>指定地点后负责服装的发放。</w:t>
            </w:r>
          </w:p>
          <w:p>
            <w:pPr>
              <w:pStyle w:val="8"/>
              <w:spacing w:line="400" w:lineRule="exact"/>
              <w:ind w:firstLine="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w:t>
            </w:r>
            <w:r>
              <w:rPr>
                <w:rFonts w:hint="eastAsia" w:ascii="仿宋" w:hAnsi="仿宋" w:eastAsia="仿宋" w:cs="仿宋"/>
                <w:color w:val="auto"/>
                <w:sz w:val="24"/>
                <w:szCs w:val="24"/>
                <w:highlight w:val="none"/>
                <w:lang w:eastAsia="zh-CN"/>
              </w:rPr>
              <w:t>招标人</w:t>
            </w:r>
            <w:r>
              <w:rPr>
                <w:rFonts w:hint="eastAsia" w:ascii="仿宋" w:hAnsi="仿宋" w:eastAsia="仿宋" w:cs="仿宋"/>
                <w:color w:val="auto"/>
                <w:sz w:val="24"/>
                <w:szCs w:val="24"/>
                <w:highlight w:val="none"/>
              </w:rPr>
              <w:t>如有紧急配送需求时，投标人应积极配合，并按时、按质、按量配送服装。</w:t>
            </w:r>
          </w:p>
          <w:p>
            <w:pPr>
              <w:pStyle w:val="8"/>
              <w:spacing w:line="400" w:lineRule="exact"/>
              <w:ind w:firstLine="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w:t>
            </w:r>
            <w:r>
              <w:rPr>
                <w:rFonts w:hint="eastAsia" w:ascii="仿宋" w:hAnsi="仿宋" w:eastAsia="仿宋" w:cs="仿宋"/>
                <w:color w:val="auto"/>
                <w:sz w:val="24"/>
                <w:szCs w:val="24"/>
                <w:highlight w:val="none"/>
                <w:lang w:eastAsia="zh-CN"/>
              </w:rPr>
              <w:t>招标人</w:t>
            </w:r>
            <w:r>
              <w:rPr>
                <w:rFonts w:hint="eastAsia" w:ascii="仿宋" w:hAnsi="仿宋" w:eastAsia="仿宋" w:cs="仿宋"/>
                <w:color w:val="auto"/>
                <w:sz w:val="24"/>
                <w:szCs w:val="24"/>
                <w:highlight w:val="none"/>
              </w:rPr>
              <w:t>有调、换货需求时，投标人应积极配合调、换货，并按时、按质、按量配送服装。</w:t>
            </w:r>
          </w:p>
          <w:p>
            <w:pPr>
              <w:pStyle w:val="8"/>
              <w:spacing w:line="400" w:lineRule="exact"/>
              <w:ind w:firstLine="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4.若服装有质量问题的，投标人应无条件更换。</w:t>
            </w:r>
          </w:p>
          <w:p>
            <w:pPr>
              <w:pStyle w:val="8"/>
              <w:spacing w:line="400" w:lineRule="exact"/>
              <w:ind w:firstLine="0" w:firstLineChars="0"/>
              <w:rPr>
                <w:rFonts w:hint="eastAsia" w:ascii="宋体" w:hAnsi="宋体" w:eastAsia="宋体" w:cs="宋体"/>
                <w:color w:val="auto"/>
                <w:sz w:val="21"/>
                <w:szCs w:val="21"/>
                <w:highlight w:val="none"/>
              </w:rPr>
            </w:pPr>
            <w:r>
              <w:rPr>
                <w:rFonts w:hint="eastAsia" w:ascii="仿宋" w:hAnsi="仿宋" w:eastAsia="仿宋" w:cs="仿宋"/>
                <w:color w:val="auto"/>
                <w:sz w:val="24"/>
                <w:szCs w:val="24"/>
                <w:highlight w:val="none"/>
              </w:rPr>
              <w:t>5.服装必须标明：产品型号、规格、原料成份和材质含量及等级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trPr>
        <w:tc>
          <w:tcPr>
            <w:tcW w:w="1532" w:type="dxa"/>
            <w:noWrap w:val="0"/>
            <w:vAlign w:val="center"/>
          </w:tcPr>
          <w:p>
            <w:pPr>
              <w:adjustRightInd w:val="0"/>
              <w:snapToGrid w:val="0"/>
              <w:spacing w:line="320" w:lineRule="exact"/>
              <w:jc w:val="center"/>
              <w:rPr>
                <w:rFonts w:hint="eastAsia" w:ascii="宋体" w:hAnsi="宋体" w:eastAsia="宋体" w:cs="宋体"/>
                <w:b w:val="0"/>
                <w:bCs/>
                <w:i w:val="0"/>
                <w:iCs w:val="0"/>
                <w:color w:val="auto"/>
                <w:sz w:val="21"/>
                <w:szCs w:val="21"/>
                <w:highlight w:val="none"/>
              </w:rPr>
            </w:pPr>
            <w:r>
              <w:rPr>
                <w:rFonts w:hint="eastAsia" w:ascii="仿宋_GB2312" w:hAnsi="仿宋_GB2312" w:eastAsia="仿宋_GB2312" w:cs="仿宋_GB2312"/>
                <w:bCs/>
                <w:color w:val="auto"/>
                <w:sz w:val="28"/>
                <w:szCs w:val="28"/>
                <w:highlight w:val="none"/>
              </w:rPr>
              <w:t>售后服务要求</w:t>
            </w:r>
          </w:p>
        </w:tc>
        <w:tc>
          <w:tcPr>
            <w:tcW w:w="7266" w:type="dxa"/>
            <w:noWrap w:val="0"/>
            <w:vAlign w:val="top"/>
          </w:tcPr>
          <w:p>
            <w:pPr>
              <w:pStyle w:val="8"/>
              <w:spacing w:line="400" w:lineRule="exact"/>
              <w:ind w:firstLine="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1.学生购买服装之日起15日内若出现服装破损、褪色或学生皮肤不适等情况，投标人在接到</w:t>
            </w:r>
            <w:r>
              <w:rPr>
                <w:rFonts w:hint="eastAsia" w:ascii="仿宋" w:hAnsi="仿宋" w:eastAsia="仿宋" w:cs="仿宋"/>
                <w:color w:val="auto"/>
                <w:sz w:val="24"/>
                <w:szCs w:val="24"/>
                <w:highlight w:val="none"/>
                <w:lang w:eastAsia="zh-CN"/>
              </w:rPr>
              <w:t>招标人</w:t>
            </w:r>
            <w:r>
              <w:rPr>
                <w:rFonts w:hint="eastAsia" w:ascii="仿宋" w:hAnsi="仿宋" w:eastAsia="仿宋" w:cs="仿宋"/>
                <w:color w:val="auto"/>
                <w:sz w:val="24"/>
                <w:szCs w:val="24"/>
                <w:highlight w:val="none"/>
              </w:rPr>
              <w:t>通知后12小时内完成修补或替换。</w:t>
            </w:r>
          </w:p>
          <w:p>
            <w:pPr>
              <w:pStyle w:val="8"/>
              <w:spacing w:line="400" w:lineRule="exact"/>
              <w:ind w:firstLine="0" w:firstLineChars="0"/>
              <w:rPr>
                <w:rFonts w:hint="eastAsia" w:ascii="宋体" w:hAnsi="宋体" w:eastAsia="宋体" w:cs="宋体"/>
                <w:color w:val="auto"/>
                <w:sz w:val="21"/>
                <w:szCs w:val="21"/>
                <w:highlight w:val="none"/>
              </w:rPr>
            </w:pPr>
            <w:r>
              <w:rPr>
                <w:rFonts w:hint="eastAsia" w:ascii="仿宋" w:hAnsi="仿宋" w:eastAsia="仿宋" w:cs="仿宋"/>
                <w:color w:val="auto"/>
                <w:sz w:val="24"/>
                <w:szCs w:val="24"/>
                <w:highlight w:val="none"/>
              </w:rPr>
              <w:t>2.投标人当批次服装发放完毕后，投标人提供10%的备货，存放在</w:t>
            </w:r>
            <w:r>
              <w:rPr>
                <w:rFonts w:hint="eastAsia" w:ascii="仿宋" w:hAnsi="仿宋" w:eastAsia="仿宋" w:cs="仿宋"/>
                <w:color w:val="auto"/>
                <w:sz w:val="24"/>
                <w:szCs w:val="24"/>
                <w:highlight w:val="none"/>
                <w:lang w:eastAsia="zh-CN"/>
              </w:rPr>
              <w:t>招标人</w:t>
            </w:r>
            <w:r>
              <w:rPr>
                <w:rFonts w:hint="eastAsia" w:ascii="仿宋" w:hAnsi="仿宋" w:eastAsia="仿宋" w:cs="仿宋"/>
                <w:color w:val="auto"/>
                <w:sz w:val="24"/>
                <w:szCs w:val="24"/>
                <w:highlight w:val="none"/>
              </w:rPr>
              <w:t>指定地点，便于</w:t>
            </w:r>
            <w:r>
              <w:rPr>
                <w:rFonts w:hint="eastAsia" w:ascii="仿宋" w:hAnsi="仿宋" w:eastAsia="仿宋" w:cs="仿宋"/>
                <w:color w:val="auto"/>
                <w:sz w:val="24"/>
                <w:szCs w:val="24"/>
                <w:highlight w:val="none"/>
                <w:lang w:eastAsia="zh-CN"/>
              </w:rPr>
              <w:t>招标人</w:t>
            </w:r>
            <w:r>
              <w:rPr>
                <w:rFonts w:hint="eastAsia" w:ascii="仿宋" w:hAnsi="仿宋" w:eastAsia="仿宋" w:cs="仿宋"/>
                <w:color w:val="auto"/>
                <w:sz w:val="24"/>
                <w:szCs w:val="24"/>
                <w:highlight w:val="none"/>
              </w:rPr>
              <w:t>临时补发，备货服装费按实际发生量结合成交单价在军训结束后结算。</w:t>
            </w:r>
          </w:p>
        </w:tc>
      </w:tr>
    </w:tbl>
    <w:p>
      <w:pPr>
        <w:spacing w:line="240" w:lineRule="auto"/>
        <w:ind w:right="35" w:firstLine="480" w:firstLineChars="200"/>
        <w:rPr>
          <w:rFonts w:hint="eastAsia"/>
          <w:color w:val="auto"/>
          <w:sz w:val="24"/>
          <w:szCs w:val="24"/>
          <w:highlight w:val="none"/>
          <w:lang w:val="en-US" w:eastAsia="zh-CN"/>
        </w:rPr>
      </w:pPr>
    </w:p>
    <w:p>
      <w:pPr>
        <w:keepNext/>
        <w:keepLines/>
        <w:widowControl w:val="0"/>
        <w:numPr>
          <w:ilvl w:val="0"/>
          <w:numId w:val="5"/>
        </w:numPr>
        <w:spacing w:before="340" w:after="330" w:line="240" w:lineRule="auto"/>
        <w:outlineLvl w:val="1"/>
        <w:rPr>
          <w:rFonts w:hint="eastAsia" w:ascii="宋体" w:hAnsi="宋体" w:eastAsia="宋体" w:cs="宋体"/>
          <w:b/>
          <w:bCs/>
          <w:color w:val="auto"/>
          <w:sz w:val="24"/>
          <w:szCs w:val="24"/>
          <w:highlight w:val="none"/>
          <w:lang w:val="en-US" w:eastAsia="zh-CN"/>
        </w:rPr>
      </w:pPr>
      <w:bookmarkStart w:id="170" w:name="_Toc8889"/>
      <w:r>
        <w:rPr>
          <w:rFonts w:hint="eastAsia" w:ascii="Times New Roman" w:hAnsi="Times New Roman" w:eastAsia="宋体" w:cs="Times New Roman"/>
          <w:b/>
          <w:bCs/>
          <w:color w:val="auto"/>
          <w:sz w:val="28"/>
          <w:szCs w:val="28"/>
          <w:highlight w:val="none"/>
        </w:rPr>
        <w:t>★</w:t>
      </w:r>
      <w:r>
        <w:rPr>
          <w:rFonts w:hint="eastAsia" w:ascii="宋体" w:hAnsi="宋体" w:eastAsia="宋体" w:cs="宋体"/>
          <w:b/>
          <w:bCs/>
          <w:color w:val="auto"/>
          <w:sz w:val="24"/>
          <w:szCs w:val="24"/>
          <w:highlight w:val="none"/>
          <w:lang w:eastAsia="zh-CN"/>
        </w:rPr>
        <w:t>履约保证金要求</w:t>
      </w:r>
      <w:bookmarkEnd w:id="170"/>
    </w:p>
    <w:p>
      <w:pPr>
        <w:spacing w:line="240" w:lineRule="auto"/>
        <w:ind w:right="35" w:firstLine="480" w:firstLineChars="200"/>
        <w:rPr>
          <w:rFonts w:hint="eastAsia" w:ascii="宋体" w:hAnsi="宋体" w:eastAsia="宋体" w:cs="宋体"/>
          <w:b w:val="0"/>
          <w:bCs/>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履约保证金为30000元，（大写：人民币叁万元整），投标人应在中标通知书发出之日起至合同签订前以银行转账</w:t>
      </w:r>
      <w:r>
        <w:rPr>
          <w:rFonts w:hint="eastAsia" w:ascii="宋体" w:hAnsi="宋体" w:eastAsia="宋体" w:cs="宋体"/>
          <w:color w:val="auto"/>
          <w:sz w:val="24"/>
          <w:szCs w:val="24"/>
          <w:highlight w:val="none"/>
          <w:lang w:val="en-US" w:eastAsia="zh-CN"/>
        </w:rPr>
        <w:t>的</w:t>
      </w:r>
      <w:r>
        <w:rPr>
          <w:rFonts w:hint="eastAsia" w:ascii="宋体" w:hAnsi="宋体" w:eastAsia="宋体" w:cs="宋体"/>
          <w:color w:val="auto"/>
          <w:sz w:val="24"/>
          <w:szCs w:val="24"/>
          <w:highlight w:val="none"/>
        </w:rPr>
        <w:t>形式向招标人提交履约保证金。</w:t>
      </w:r>
    </w:p>
    <w:p>
      <w:pPr>
        <w:spacing w:line="240" w:lineRule="auto"/>
        <w:ind w:right="35" w:firstLine="520" w:firstLineChars="200"/>
        <w:rPr>
          <w:rFonts w:hint="eastAsia" w:ascii="宋体" w:hAnsi="宋体" w:eastAsia="宋体" w:cs="宋体"/>
          <w:snapToGrid w:val="0"/>
          <w:color w:val="auto"/>
          <w:spacing w:val="10"/>
          <w:sz w:val="24"/>
          <w:szCs w:val="24"/>
          <w:highlight w:val="none"/>
          <w:lang w:val="en-US" w:eastAsia="zh-CN" w:bidi="ar-SA"/>
        </w:rPr>
      </w:pPr>
      <w:r>
        <w:rPr>
          <w:rFonts w:hint="eastAsia" w:ascii="宋体" w:hAnsi="宋体" w:eastAsia="宋体" w:cs="宋体"/>
          <w:snapToGrid w:val="0"/>
          <w:color w:val="auto"/>
          <w:spacing w:val="10"/>
          <w:sz w:val="24"/>
          <w:szCs w:val="24"/>
          <w:highlight w:val="none"/>
          <w:lang w:val="en-US" w:eastAsia="zh-CN" w:bidi="ar-SA"/>
        </w:rPr>
        <w:t>2.履行合同约定(含售后服务)完毕且货物和售后服务全部验收合格后，无质量问题和违约责任情况。10个日历天内无息退还投标人应退部分履约保证金。因招标人原因逾期退还的，应当以未退还金额为基数，按合同订立时1年期贷款市场报价利率标准向投标人支付相应违约金，但违约金最高不得超过未退还金额的百分之二十。若因投标人不及时或未提供“收到退还履约保证金的收据”、“履约保证金退还申请”的，则招标人不承担逾期退还违约责任。</w:t>
      </w:r>
    </w:p>
    <w:p>
      <w:pPr>
        <w:spacing w:line="240" w:lineRule="auto"/>
        <w:ind w:right="35" w:firstLine="520" w:firstLineChars="200"/>
        <w:rPr>
          <w:rFonts w:hint="eastAsia" w:ascii="宋体" w:hAnsi="宋体" w:eastAsia="宋体" w:cs="宋体"/>
          <w:snapToGrid w:val="0"/>
          <w:color w:val="auto"/>
          <w:spacing w:val="10"/>
          <w:sz w:val="24"/>
          <w:szCs w:val="24"/>
          <w:highlight w:val="none"/>
          <w:lang w:val="en-US" w:eastAsia="zh-CN" w:bidi="ar-SA"/>
        </w:rPr>
      </w:pPr>
      <w:r>
        <w:rPr>
          <w:rFonts w:hint="eastAsia" w:ascii="宋体" w:hAnsi="宋体" w:eastAsia="宋体" w:cs="宋体"/>
          <w:snapToGrid w:val="0"/>
          <w:color w:val="auto"/>
          <w:spacing w:val="10"/>
          <w:sz w:val="24"/>
          <w:szCs w:val="24"/>
          <w:highlight w:val="none"/>
          <w:lang w:val="en-US" w:eastAsia="zh-CN" w:bidi="ar-SA"/>
        </w:rPr>
        <w:t>3.履约保证金汇入的银行及账号：</w:t>
      </w:r>
    </w:p>
    <w:p>
      <w:pPr>
        <w:spacing w:line="240" w:lineRule="auto"/>
        <w:ind w:right="35" w:firstLine="520" w:firstLineChars="200"/>
        <w:rPr>
          <w:rFonts w:hint="eastAsia" w:ascii="宋体" w:hAnsi="宋体" w:eastAsia="宋体" w:cs="宋体"/>
          <w:snapToGrid w:val="0"/>
          <w:color w:val="auto"/>
          <w:spacing w:val="10"/>
          <w:sz w:val="24"/>
          <w:szCs w:val="24"/>
          <w:highlight w:val="none"/>
          <w:lang w:val="en-US" w:eastAsia="zh-CN" w:bidi="ar-SA"/>
        </w:rPr>
      </w:pPr>
      <w:r>
        <w:rPr>
          <w:rFonts w:hint="eastAsia" w:ascii="宋体" w:hAnsi="宋体" w:eastAsia="宋体" w:cs="宋体"/>
          <w:snapToGrid w:val="0"/>
          <w:color w:val="auto"/>
          <w:spacing w:val="10"/>
          <w:sz w:val="24"/>
          <w:szCs w:val="24"/>
          <w:highlight w:val="none"/>
          <w:lang w:val="en-US" w:eastAsia="zh-CN" w:bidi="ar-SA"/>
        </w:rPr>
        <w:t xml:space="preserve"> 收款账号：成都市技师学院</w:t>
      </w:r>
    </w:p>
    <w:p>
      <w:pPr>
        <w:spacing w:line="240" w:lineRule="auto"/>
        <w:ind w:right="35" w:firstLine="520" w:firstLineChars="200"/>
        <w:rPr>
          <w:rFonts w:hint="eastAsia" w:ascii="宋体" w:hAnsi="宋体" w:eastAsia="宋体" w:cs="宋体"/>
          <w:snapToGrid w:val="0"/>
          <w:color w:val="auto"/>
          <w:spacing w:val="10"/>
          <w:sz w:val="24"/>
          <w:szCs w:val="24"/>
          <w:highlight w:val="none"/>
          <w:lang w:val="en-US" w:eastAsia="zh-CN" w:bidi="ar-SA"/>
        </w:rPr>
      </w:pPr>
      <w:r>
        <w:rPr>
          <w:rFonts w:hint="eastAsia" w:ascii="宋体" w:hAnsi="宋体" w:eastAsia="宋体" w:cs="宋体"/>
          <w:snapToGrid w:val="0"/>
          <w:color w:val="auto"/>
          <w:spacing w:val="10"/>
          <w:sz w:val="24"/>
          <w:szCs w:val="24"/>
          <w:highlight w:val="none"/>
          <w:lang w:val="en-US" w:eastAsia="zh-CN" w:bidi="ar-SA"/>
        </w:rPr>
        <w:t xml:space="preserve"> 开户行：工行四川成都红光支行</w:t>
      </w:r>
    </w:p>
    <w:p>
      <w:pPr>
        <w:spacing w:line="240" w:lineRule="auto"/>
        <w:ind w:right="35" w:firstLine="520" w:firstLineChars="200"/>
        <w:rPr>
          <w:rFonts w:hint="eastAsia" w:ascii="宋体" w:hAnsi="宋体" w:eastAsia="宋体" w:cs="宋体"/>
          <w:snapToGrid w:val="0"/>
          <w:color w:val="auto"/>
          <w:spacing w:val="10"/>
          <w:sz w:val="24"/>
          <w:szCs w:val="24"/>
          <w:highlight w:val="none"/>
          <w:lang w:val="en-US" w:eastAsia="zh-CN" w:bidi="ar-SA"/>
        </w:rPr>
      </w:pPr>
      <w:r>
        <w:rPr>
          <w:rFonts w:hint="eastAsia" w:ascii="宋体" w:hAnsi="宋体" w:eastAsia="宋体" w:cs="宋体"/>
          <w:snapToGrid w:val="0"/>
          <w:color w:val="auto"/>
          <w:spacing w:val="10"/>
          <w:sz w:val="24"/>
          <w:szCs w:val="24"/>
          <w:highlight w:val="none"/>
          <w:lang w:val="en-US" w:eastAsia="zh-CN" w:bidi="ar-SA"/>
        </w:rPr>
        <w:t xml:space="preserve"> 银行账号：4402054609100031151</w:t>
      </w:r>
    </w:p>
    <w:p>
      <w:pPr>
        <w:spacing w:line="240" w:lineRule="auto"/>
        <w:ind w:right="35" w:firstLine="520" w:firstLineChars="200"/>
        <w:rPr>
          <w:rFonts w:hint="eastAsia" w:ascii="宋体" w:hAnsi="宋体" w:eastAsia="宋体" w:cs="宋体"/>
          <w:snapToGrid w:val="0"/>
          <w:color w:val="auto"/>
          <w:spacing w:val="10"/>
          <w:sz w:val="24"/>
          <w:szCs w:val="24"/>
          <w:highlight w:val="none"/>
          <w:lang w:val="en-US" w:eastAsia="zh-CN" w:bidi="ar-SA"/>
        </w:rPr>
      </w:pPr>
      <w:r>
        <w:rPr>
          <w:rFonts w:hint="eastAsia" w:ascii="宋体" w:hAnsi="宋体" w:eastAsia="宋体" w:cs="宋体"/>
          <w:snapToGrid w:val="0"/>
          <w:color w:val="auto"/>
          <w:spacing w:val="10"/>
          <w:sz w:val="24"/>
          <w:szCs w:val="24"/>
          <w:highlight w:val="none"/>
          <w:lang w:val="en-US" w:eastAsia="zh-CN" w:bidi="ar-SA"/>
        </w:rPr>
        <w:t>4.履约保证金不予退还情形:一是投标人未按合同要求履行的，其履约保证金全部扣除。二是投标人缴纳了履约保证金，但因自身原因被取消成交资格或在成交公示期满之日起30个日历天(含法定节假日)内投标人不按招标文件确定的事项与招标人签订合同的，其履约保证金不予退还。三是法律法规或合同约定的其他情形。</w:t>
      </w:r>
    </w:p>
    <w:p>
      <w:pPr>
        <w:keepNext/>
        <w:keepLines/>
        <w:widowControl w:val="0"/>
        <w:numPr>
          <w:ilvl w:val="0"/>
          <w:numId w:val="5"/>
        </w:numPr>
        <w:spacing w:before="340" w:after="330" w:line="240" w:lineRule="auto"/>
        <w:outlineLvl w:val="1"/>
        <w:rPr>
          <w:rFonts w:hint="eastAsia" w:ascii="宋体" w:hAnsi="宋体" w:eastAsia="宋体" w:cs="宋体"/>
          <w:b/>
          <w:bCs/>
          <w:color w:val="auto"/>
          <w:kern w:val="44"/>
          <w:sz w:val="24"/>
          <w:szCs w:val="24"/>
          <w:highlight w:val="none"/>
          <w:lang w:eastAsia="zh-CN"/>
        </w:rPr>
      </w:pPr>
      <w:bookmarkStart w:id="171" w:name="_Toc21491"/>
      <w:r>
        <w:rPr>
          <w:rFonts w:hint="eastAsia" w:ascii="宋体" w:hAnsi="宋体" w:eastAsia="宋体" w:cs="宋体"/>
          <w:b/>
          <w:bCs/>
          <w:color w:val="auto"/>
          <w:kern w:val="44"/>
          <w:sz w:val="24"/>
          <w:szCs w:val="24"/>
          <w:highlight w:val="none"/>
          <w:lang w:eastAsia="zh-CN"/>
        </w:rPr>
        <w:t>方案要求</w:t>
      </w:r>
      <w:bookmarkEnd w:id="171"/>
      <w:r>
        <w:rPr>
          <w:rFonts w:hint="eastAsia" w:ascii="宋体" w:hAnsi="宋体" w:eastAsia="宋体" w:cs="宋体"/>
          <w:b/>
          <w:bCs/>
          <w:color w:val="auto"/>
          <w:kern w:val="44"/>
          <w:sz w:val="24"/>
          <w:szCs w:val="24"/>
          <w:highlight w:val="none"/>
          <w:lang w:eastAsia="zh-CN"/>
        </w:rPr>
        <w:t>（实施方案、售后服务方案等）</w:t>
      </w:r>
    </w:p>
    <w:p>
      <w:pPr>
        <w:spacing w:line="240" w:lineRule="auto"/>
        <w:ind w:right="35" w:firstLine="520" w:firstLineChars="200"/>
        <w:rPr>
          <w:rFonts w:hint="eastAsia" w:ascii="宋体" w:hAnsi="宋体" w:eastAsia="宋体" w:cs="宋体"/>
          <w:snapToGrid w:val="0"/>
          <w:color w:val="auto"/>
          <w:spacing w:val="10"/>
          <w:sz w:val="24"/>
          <w:szCs w:val="24"/>
          <w:highlight w:val="none"/>
          <w:lang w:val="en-US" w:eastAsia="zh-CN" w:bidi="ar-SA"/>
        </w:rPr>
      </w:pPr>
      <w:r>
        <w:rPr>
          <w:rFonts w:hint="eastAsia" w:ascii="宋体" w:hAnsi="宋体" w:eastAsia="宋体" w:cs="宋体"/>
          <w:snapToGrid w:val="0"/>
          <w:color w:val="auto"/>
          <w:spacing w:val="10"/>
          <w:sz w:val="24"/>
          <w:szCs w:val="24"/>
          <w:highlight w:val="none"/>
          <w:lang w:val="en-US" w:eastAsia="zh-CN" w:bidi="ar-SA"/>
        </w:rPr>
        <w:t>1.投标人制定详细的项目实施方案，至少包含备货、配送、质量保证措施、应急措施等。</w:t>
      </w:r>
    </w:p>
    <w:p>
      <w:pPr>
        <w:spacing w:line="240" w:lineRule="auto"/>
        <w:ind w:right="35" w:firstLine="520" w:firstLineChars="200"/>
        <w:rPr>
          <w:rFonts w:hint="eastAsia" w:ascii="宋体" w:hAnsi="宋体" w:eastAsia="宋体" w:cs="宋体"/>
          <w:snapToGrid w:val="0"/>
          <w:color w:val="auto"/>
          <w:spacing w:val="10"/>
          <w:sz w:val="24"/>
          <w:szCs w:val="24"/>
          <w:highlight w:val="none"/>
          <w:lang w:val="en-US" w:eastAsia="zh-CN" w:bidi="ar-SA"/>
        </w:rPr>
      </w:pPr>
      <w:r>
        <w:rPr>
          <w:rFonts w:hint="eastAsia" w:ascii="宋体" w:hAnsi="宋体" w:eastAsia="宋体" w:cs="宋体"/>
          <w:snapToGrid w:val="0"/>
          <w:color w:val="auto"/>
          <w:spacing w:val="10"/>
          <w:sz w:val="24"/>
          <w:szCs w:val="24"/>
          <w:highlight w:val="none"/>
          <w:lang w:val="en-US" w:eastAsia="zh-CN" w:bidi="ar-SA"/>
        </w:rPr>
        <w:t>2.投标人制定详细的售后服务方案，至少包含服务人员配置、故障响应时间、响应方式、售后服务期内的维护措施等。</w:t>
      </w:r>
    </w:p>
    <w:p>
      <w:pPr>
        <w:keepNext/>
        <w:keepLines/>
        <w:widowControl w:val="0"/>
        <w:numPr>
          <w:ilvl w:val="0"/>
          <w:numId w:val="5"/>
        </w:numPr>
        <w:spacing w:before="340" w:after="330" w:line="240" w:lineRule="auto"/>
        <w:outlineLvl w:val="1"/>
        <w:rPr>
          <w:rFonts w:hint="eastAsia" w:ascii="宋体" w:hAnsi="宋体" w:eastAsia="宋体" w:cs="宋体"/>
          <w:b/>
          <w:bCs/>
          <w:color w:val="auto"/>
          <w:kern w:val="44"/>
          <w:sz w:val="24"/>
          <w:szCs w:val="24"/>
          <w:highlight w:val="none"/>
          <w:lang w:eastAsia="zh-CN"/>
        </w:rPr>
      </w:pPr>
      <w:bookmarkStart w:id="172" w:name="_Toc18869"/>
      <w:r>
        <w:rPr>
          <w:rFonts w:hint="eastAsia" w:ascii="宋体" w:hAnsi="宋体" w:eastAsia="宋体" w:cs="宋体"/>
          <w:b/>
          <w:bCs/>
          <w:color w:val="auto"/>
          <w:kern w:val="44"/>
          <w:sz w:val="24"/>
          <w:szCs w:val="24"/>
          <w:highlight w:val="none"/>
          <w:lang w:val="en-US" w:eastAsia="zh-CN"/>
        </w:rPr>
        <w:t>样品要求</w:t>
      </w:r>
      <w:bookmarkEnd w:id="172"/>
    </w:p>
    <w:p>
      <w:pPr>
        <w:ind w:right="35" w:firstLine="520" w:firstLineChars="200"/>
        <w:rPr>
          <w:rFonts w:hint="eastAsia" w:ascii="宋体" w:hAnsi="宋体" w:eastAsia="宋体" w:cs="宋体"/>
          <w:color w:val="auto"/>
          <w:spacing w:val="10"/>
          <w:sz w:val="24"/>
          <w:szCs w:val="24"/>
          <w:highlight w:val="none"/>
          <w:lang w:val="en-US" w:eastAsia="zh-CN"/>
        </w:rPr>
      </w:pPr>
      <w:r>
        <w:rPr>
          <w:rFonts w:hint="eastAsia" w:ascii="宋体" w:hAnsi="宋体" w:eastAsia="宋体" w:cs="宋体"/>
          <w:color w:val="auto"/>
          <w:spacing w:val="10"/>
          <w:sz w:val="24"/>
          <w:szCs w:val="24"/>
          <w:highlight w:val="none"/>
          <w:lang w:val="en-US" w:eastAsia="zh-CN"/>
        </w:rPr>
        <w:t>1.投标人应在递交投标文件同时提交样品（军训服套装一套)。样品须在投标截止时间前送达，在投标截止时间后提交的任何形式的样品，均将拒绝接收。</w:t>
      </w:r>
    </w:p>
    <w:p>
      <w:pPr>
        <w:ind w:right="35" w:firstLine="520" w:firstLineChars="200"/>
        <w:rPr>
          <w:rFonts w:hint="eastAsia" w:ascii="宋体" w:hAnsi="宋体" w:eastAsia="宋体" w:cs="宋体"/>
          <w:color w:val="auto"/>
          <w:spacing w:val="10"/>
          <w:sz w:val="24"/>
          <w:szCs w:val="24"/>
          <w:highlight w:val="none"/>
          <w:lang w:val="en-US" w:eastAsia="zh-CN"/>
        </w:rPr>
      </w:pPr>
      <w:r>
        <w:rPr>
          <w:rFonts w:hint="eastAsia" w:ascii="宋体" w:hAnsi="宋体" w:eastAsia="宋体" w:cs="宋体"/>
          <w:color w:val="auto"/>
          <w:spacing w:val="10"/>
          <w:sz w:val="24"/>
          <w:szCs w:val="24"/>
          <w:highlight w:val="none"/>
          <w:lang w:val="en-US" w:eastAsia="zh-CN"/>
        </w:rPr>
        <w:t>2.样品单独密封包装,均为盲样（不得具有标注投标人名称、产品品牌、生产厂家等的信息的商标、背标、洗标等）。样品的设计、生产、运输费、保管费等一切费用由投标人自行承担。 </w:t>
      </w:r>
    </w:p>
    <w:p>
      <w:pPr>
        <w:ind w:right="35" w:firstLine="520" w:firstLineChars="200"/>
        <w:rPr>
          <w:rFonts w:hint="eastAsia" w:ascii="宋体" w:hAnsi="宋体" w:eastAsia="宋体" w:cs="宋体"/>
          <w:color w:val="auto"/>
          <w:spacing w:val="10"/>
          <w:sz w:val="24"/>
          <w:szCs w:val="24"/>
          <w:highlight w:val="none"/>
          <w:lang w:val="en-US" w:eastAsia="zh-CN"/>
        </w:rPr>
      </w:pPr>
      <w:r>
        <w:rPr>
          <w:rFonts w:hint="eastAsia" w:ascii="宋体" w:hAnsi="宋体" w:eastAsia="宋体" w:cs="宋体"/>
          <w:color w:val="auto"/>
          <w:spacing w:val="10"/>
          <w:sz w:val="24"/>
          <w:szCs w:val="24"/>
          <w:highlight w:val="none"/>
          <w:lang w:val="en-US" w:eastAsia="zh-CN"/>
        </w:rPr>
        <w:t>3.中标投标人样品封样留存，作为交货验收的依据。其他未中标投标人的样品在收到中标结果通知书后7个工作日内领回，逾期的将视为投标人放弃领回。代理机构有权对进行集中处置且不承担任何责任。</w:t>
      </w:r>
    </w:p>
    <w:p>
      <w:pPr>
        <w:keepNext/>
        <w:keepLines/>
        <w:widowControl w:val="0"/>
        <w:numPr>
          <w:ilvl w:val="0"/>
          <w:numId w:val="5"/>
        </w:numPr>
        <w:spacing w:before="340" w:after="330" w:line="240" w:lineRule="auto"/>
        <w:outlineLvl w:val="1"/>
        <w:rPr>
          <w:rFonts w:hint="eastAsia" w:ascii="宋体" w:hAnsi="宋体" w:eastAsia="宋体" w:cs="宋体"/>
          <w:b/>
          <w:bCs/>
          <w:color w:val="auto"/>
          <w:kern w:val="44"/>
          <w:sz w:val="24"/>
          <w:szCs w:val="24"/>
          <w:highlight w:val="none"/>
          <w:lang w:eastAsia="zh-CN"/>
        </w:rPr>
      </w:pPr>
      <w:r>
        <w:rPr>
          <w:rFonts w:hint="eastAsia" w:ascii="宋体" w:hAnsi="宋体" w:eastAsia="宋体" w:cs="宋体"/>
          <w:b/>
          <w:bCs/>
          <w:color w:val="auto"/>
          <w:kern w:val="44"/>
          <w:sz w:val="24"/>
          <w:szCs w:val="24"/>
          <w:highlight w:val="none"/>
          <w:lang w:val="en-US" w:eastAsia="zh-CN"/>
        </w:rPr>
        <w:t>履约验收方案</w:t>
      </w:r>
    </w:p>
    <w:p>
      <w:pPr>
        <w:pStyle w:val="2"/>
        <w:ind w:firstLine="520" w:firstLineChars="200"/>
        <w:rPr>
          <w:rFonts w:hint="eastAsia" w:ascii="宋体" w:hAnsi="宋体" w:eastAsia="宋体" w:cs="宋体"/>
          <w:snapToGrid w:val="0"/>
          <w:color w:val="auto"/>
          <w:spacing w:val="10"/>
          <w:sz w:val="24"/>
          <w:szCs w:val="24"/>
          <w:highlight w:val="none"/>
          <w:lang w:val="en-US" w:eastAsia="zh-CN" w:bidi="ar-SA"/>
        </w:rPr>
      </w:pPr>
      <w:r>
        <w:rPr>
          <w:rFonts w:hint="eastAsia" w:ascii="宋体" w:hAnsi="宋体" w:eastAsia="宋体" w:cs="宋体"/>
          <w:snapToGrid w:val="0"/>
          <w:color w:val="auto"/>
          <w:spacing w:val="10"/>
          <w:sz w:val="24"/>
          <w:szCs w:val="24"/>
          <w:highlight w:val="none"/>
          <w:lang w:val="en-US" w:eastAsia="zh-CN" w:bidi="ar-SA"/>
        </w:rPr>
        <w:t>1.验收的主体：成都市技师学院</w:t>
      </w:r>
    </w:p>
    <w:p>
      <w:pPr>
        <w:pStyle w:val="2"/>
        <w:ind w:firstLine="520" w:firstLineChars="200"/>
        <w:rPr>
          <w:rFonts w:hint="eastAsia" w:ascii="宋体" w:hAnsi="宋体" w:eastAsia="宋体" w:cs="宋体"/>
          <w:snapToGrid w:val="0"/>
          <w:color w:val="auto"/>
          <w:spacing w:val="10"/>
          <w:sz w:val="24"/>
          <w:szCs w:val="24"/>
          <w:highlight w:val="none"/>
          <w:lang w:val="en-US" w:eastAsia="zh-CN" w:bidi="ar-SA"/>
        </w:rPr>
      </w:pPr>
      <w:r>
        <w:rPr>
          <w:rFonts w:hint="eastAsia" w:ascii="宋体" w:hAnsi="宋体" w:eastAsia="宋体" w:cs="宋体"/>
          <w:snapToGrid w:val="0"/>
          <w:color w:val="auto"/>
          <w:spacing w:val="10"/>
          <w:sz w:val="24"/>
          <w:szCs w:val="24"/>
          <w:highlight w:val="none"/>
          <w:lang w:val="en-US" w:eastAsia="zh-CN" w:bidi="ar-SA"/>
        </w:rPr>
        <w:t>2.验收时间及程序：</w:t>
      </w:r>
    </w:p>
    <w:p>
      <w:pPr>
        <w:pStyle w:val="2"/>
        <w:ind w:firstLine="520" w:firstLineChars="200"/>
        <w:rPr>
          <w:rFonts w:hint="eastAsia" w:ascii="宋体" w:hAnsi="宋体" w:eastAsia="宋体" w:cs="宋体"/>
          <w:snapToGrid w:val="0"/>
          <w:color w:val="auto"/>
          <w:spacing w:val="10"/>
          <w:sz w:val="24"/>
          <w:szCs w:val="24"/>
          <w:highlight w:val="none"/>
          <w:lang w:val="en-US" w:eastAsia="zh-CN" w:bidi="ar-SA"/>
        </w:rPr>
      </w:pPr>
      <w:r>
        <w:rPr>
          <w:rFonts w:hint="eastAsia" w:ascii="宋体" w:hAnsi="宋体" w:eastAsia="宋体" w:cs="宋体"/>
          <w:snapToGrid w:val="0"/>
          <w:color w:val="auto"/>
          <w:spacing w:val="10"/>
          <w:sz w:val="24"/>
          <w:szCs w:val="24"/>
          <w:highlight w:val="none"/>
          <w:lang w:val="en-US" w:eastAsia="zh-CN" w:bidi="ar-SA"/>
        </w:rPr>
        <w:t>（1）货物验收：投标人将当批次服装送达指定地点的当天，招标人随机抽取10％进行验收。</w:t>
      </w:r>
    </w:p>
    <w:p>
      <w:pPr>
        <w:pStyle w:val="2"/>
        <w:ind w:firstLine="520" w:firstLineChars="200"/>
        <w:rPr>
          <w:rFonts w:hint="eastAsia" w:ascii="宋体" w:hAnsi="宋体" w:eastAsia="宋体" w:cs="宋体"/>
          <w:snapToGrid w:val="0"/>
          <w:color w:val="auto"/>
          <w:spacing w:val="10"/>
          <w:sz w:val="24"/>
          <w:szCs w:val="24"/>
          <w:highlight w:val="none"/>
          <w:lang w:val="en-US" w:eastAsia="zh-CN" w:bidi="ar-SA"/>
        </w:rPr>
      </w:pPr>
      <w:r>
        <w:rPr>
          <w:rFonts w:hint="eastAsia" w:ascii="宋体" w:hAnsi="宋体" w:eastAsia="宋体" w:cs="宋体"/>
          <w:snapToGrid w:val="0"/>
          <w:color w:val="auto"/>
          <w:spacing w:val="10"/>
          <w:sz w:val="24"/>
          <w:szCs w:val="24"/>
          <w:highlight w:val="none"/>
          <w:lang w:val="en-US" w:eastAsia="zh-CN" w:bidi="ar-SA"/>
        </w:rPr>
        <w:t>（2）售后服务验收：当批次服装售后服务期结束，自招标人收到售后服务验收申请之日起5个工作日内组织验收</w:t>
      </w:r>
    </w:p>
    <w:p>
      <w:pPr>
        <w:pStyle w:val="2"/>
        <w:ind w:firstLine="520" w:firstLineChars="200"/>
        <w:rPr>
          <w:rFonts w:hint="eastAsia" w:ascii="宋体" w:hAnsi="宋体" w:eastAsia="宋体" w:cs="宋体"/>
          <w:snapToGrid w:val="0"/>
          <w:color w:val="auto"/>
          <w:spacing w:val="10"/>
          <w:sz w:val="24"/>
          <w:szCs w:val="24"/>
          <w:highlight w:val="none"/>
          <w:lang w:val="en-US" w:eastAsia="zh-CN" w:bidi="ar-SA"/>
        </w:rPr>
      </w:pPr>
      <w:r>
        <w:rPr>
          <w:rFonts w:hint="eastAsia" w:ascii="宋体" w:hAnsi="宋体" w:eastAsia="宋体" w:cs="宋体"/>
          <w:snapToGrid w:val="0"/>
          <w:color w:val="auto"/>
          <w:spacing w:val="10"/>
          <w:sz w:val="24"/>
          <w:szCs w:val="24"/>
          <w:highlight w:val="none"/>
          <w:lang w:val="en-US" w:eastAsia="zh-CN" w:bidi="ar-SA"/>
        </w:rPr>
        <w:t xml:space="preserve">3.验收方式：单位内部验收 </w:t>
      </w:r>
    </w:p>
    <w:p>
      <w:pPr>
        <w:pStyle w:val="2"/>
        <w:ind w:firstLine="520" w:firstLineChars="200"/>
        <w:rPr>
          <w:rFonts w:hint="eastAsia" w:ascii="宋体" w:hAnsi="宋体" w:eastAsia="宋体" w:cs="宋体"/>
          <w:snapToGrid w:val="0"/>
          <w:color w:val="auto"/>
          <w:spacing w:val="10"/>
          <w:sz w:val="24"/>
          <w:szCs w:val="24"/>
          <w:highlight w:val="none"/>
          <w:lang w:val="en-US" w:eastAsia="zh-CN" w:bidi="ar-SA"/>
        </w:rPr>
      </w:pPr>
      <w:r>
        <w:rPr>
          <w:rFonts w:hint="eastAsia" w:ascii="宋体" w:hAnsi="宋体" w:eastAsia="宋体" w:cs="宋体"/>
          <w:snapToGrid w:val="0"/>
          <w:color w:val="auto"/>
          <w:spacing w:val="10"/>
          <w:sz w:val="24"/>
          <w:szCs w:val="24"/>
          <w:highlight w:val="none"/>
          <w:lang w:val="en-US" w:eastAsia="zh-CN" w:bidi="ar-SA"/>
        </w:rPr>
        <w:t>4.验收的内容：</w:t>
      </w:r>
    </w:p>
    <w:p>
      <w:pPr>
        <w:pStyle w:val="2"/>
        <w:ind w:firstLine="520" w:firstLineChars="200"/>
        <w:rPr>
          <w:rFonts w:hint="eastAsia" w:ascii="宋体" w:hAnsi="宋体" w:eastAsia="宋体" w:cs="宋体"/>
          <w:snapToGrid w:val="0"/>
          <w:color w:val="auto"/>
          <w:spacing w:val="10"/>
          <w:sz w:val="24"/>
          <w:szCs w:val="24"/>
          <w:highlight w:val="none"/>
          <w:lang w:val="en-US" w:eastAsia="zh-CN" w:bidi="ar-SA"/>
        </w:rPr>
      </w:pPr>
      <w:r>
        <w:rPr>
          <w:rFonts w:hint="eastAsia" w:ascii="宋体" w:hAnsi="宋体" w:eastAsia="宋体" w:cs="宋体"/>
          <w:snapToGrid w:val="0"/>
          <w:color w:val="auto"/>
          <w:spacing w:val="10"/>
          <w:sz w:val="24"/>
          <w:szCs w:val="24"/>
          <w:highlight w:val="none"/>
          <w:lang w:val="en-US" w:eastAsia="zh-CN" w:bidi="ar-SA"/>
        </w:rPr>
        <w:t>（1）验收内容包括品牌、型号、数量、外观等每一项技术和商务要求（不含售后服务）的履约情况；</w:t>
      </w:r>
    </w:p>
    <w:p>
      <w:pPr>
        <w:pStyle w:val="2"/>
        <w:ind w:firstLine="520" w:firstLineChars="200"/>
        <w:rPr>
          <w:rFonts w:hint="eastAsia" w:ascii="宋体" w:hAnsi="宋体" w:eastAsia="宋体" w:cs="宋体"/>
          <w:snapToGrid w:val="0"/>
          <w:color w:val="auto"/>
          <w:spacing w:val="10"/>
          <w:sz w:val="24"/>
          <w:szCs w:val="24"/>
          <w:highlight w:val="none"/>
          <w:lang w:val="en-US" w:eastAsia="zh-CN" w:bidi="ar-SA"/>
        </w:rPr>
      </w:pPr>
      <w:r>
        <w:rPr>
          <w:rFonts w:hint="eastAsia" w:ascii="宋体" w:hAnsi="宋体" w:eastAsia="宋体" w:cs="宋体"/>
          <w:snapToGrid w:val="0"/>
          <w:color w:val="auto"/>
          <w:spacing w:val="10"/>
          <w:sz w:val="24"/>
          <w:szCs w:val="24"/>
          <w:highlight w:val="none"/>
          <w:lang w:val="en-US" w:eastAsia="zh-CN" w:bidi="ar-SA"/>
        </w:rPr>
        <w:t>（2）售后服务验收内容包括售后服务要求中每一项要求的履约情况。</w:t>
      </w:r>
    </w:p>
    <w:p>
      <w:pPr>
        <w:pStyle w:val="2"/>
        <w:ind w:firstLine="520" w:firstLineChars="200"/>
        <w:rPr>
          <w:rFonts w:hint="eastAsia" w:ascii="宋体" w:hAnsi="宋体" w:eastAsia="宋体" w:cs="宋体"/>
          <w:snapToGrid w:val="0"/>
          <w:color w:val="auto"/>
          <w:spacing w:val="10"/>
          <w:sz w:val="24"/>
          <w:szCs w:val="24"/>
          <w:highlight w:val="none"/>
          <w:lang w:val="en-US" w:eastAsia="zh-CN" w:bidi="ar-SA"/>
        </w:rPr>
      </w:pPr>
      <w:r>
        <w:rPr>
          <w:rFonts w:hint="eastAsia" w:ascii="宋体" w:hAnsi="宋体" w:eastAsia="宋体" w:cs="宋体"/>
          <w:snapToGrid w:val="0"/>
          <w:color w:val="auto"/>
          <w:spacing w:val="10"/>
          <w:sz w:val="24"/>
          <w:szCs w:val="24"/>
          <w:highlight w:val="none"/>
          <w:lang w:val="en-US" w:eastAsia="zh-CN" w:bidi="ar-SA"/>
        </w:rPr>
        <w:t xml:space="preserve"> 5.验收标准：按国家有关规定以及招标人招标文件的质量要求和技术指标、投标人的投标文件及承诺与本合同约定标准进行验收；其他未尽事宜应参照《财政部关于进一步加强政府采购需求和履约验收管理的指导意见》(财库〔2016〕205号)的要求进行验收。</w:t>
      </w:r>
    </w:p>
    <w:p>
      <w:pPr>
        <w:pStyle w:val="2"/>
        <w:ind w:firstLine="520" w:firstLineChars="200"/>
        <w:rPr>
          <w:rFonts w:hint="eastAsia"/>
          <w:lang w:val="en-US" w:eastAsia="zh-CN"/>
        </w:rPr>
      </w:pPr>
      <w:r>
        <w:rPr>
          <w:rFonts w:hint="eastAsia" w:ascii="宋体" w:hAnsi="宋体" w:eastAsia="宋体" w:cs="宋体"/>
          <w:snapToGrid w:val="0"/>
          <w:color w:val="auto"/>
          <w:spacing w:val="10"/>
          <w:sz w:val="24"/>
          <w:szCs w:val="24"/>
          <w:highlight w:val="none"/>
          <w:lang w:val="en-US" w:eastAsia="zh-CN" w:bidi="ar-SA"/>
        </w:rPr>
        <w:t>6.交付标准和方法：投标人按合同约定提供服装和售后服务且该批次验收合格，视为投标人完成当批次服装的交付。</w:t>
      </w:r>
    </w:p>
    <w:p>
      <w:pPr>
        <w:spacing w:line="240" w:lineRule="auto"/>
        <w:rPr>
          <w:color w:val="auto"/>
          <w:sz w:val="24"/>
          <w:szCs w:val="24"/>
          <w:highlight w:val="none"/>
        </w:rPr>
      </w:pPr>
    </w:p>
    <w:p>
      <w:pPr>
        <w:spacing w:line="240" w:lineRule="auto"/>
        <w:rPr>
          <w:rFonts w:ascii="宋体" w:hAnsi="宋体" w:eastAsia="宋体" w:cs="宋体"/>
          <w:color w:val="auto"/>
          <w:spacing w:val="9"/>
          <w:position w:val="1"/>
          <w:sz w:val="23"/>
          <w:szCs w:val="23"/>
          <w:highlight w:val="none"/>
          <w14:textOutline w14:w="4356" w14:cap="sq" w14:cmpd="sng" w14:algn="ctr">
            <w14:solidFill>
              <w14:srgbClr w14:val="000000"/>
            </w14:solidFill>
            <w14:prstDash w14:val="solid"/>
            <w14:bevel/>
          </w14:textOutline>
        </w:rPr>
      </w:pPr>
      <w:r>
        <w:rPr>
          <w:rFonts w:hint="eastAsia" w:ascii="宋体" w:hAnsi="宋体" w:eastAsia="宋体" w:cs="宋体"/>
          <w:b/>
          <w:bCs/>
          <w:color w:val="auto"/>
          <w:sz w:val="24"/>
          <w:szCs w:val="24"/>
          <w:highlight w:val="none"/>
        </w:rPr>
        <w:t>注：本章中标注“★”的条款为实质性要求，不允许有负偏离，有任意一项负偏离的，作无效投标处理</w:t>
      </w:r>
      <w:r>
        <w:rPr>
          <w:rFonts w:hint="eastAsia" w:ascii="宋体" w:hAnsi="宋体" w:eastAsia="宋体" w:cs="宋体"/>
          <w:color w:val="auto"/>
          <w:spacing w:val="9"/>
          <w:position w:val="1"/>
          <w:sz w:val="24"/>
          <w:szCs w:val="24"/>
          <w:highlight w:val="none"/>
          <w14:textOutline w14:w="4356" w14:cap="sq" w14:cmpd="sng" w14:algn="ctr">
            <w14:solidFill>
              <w14:srgbClr w14:val="000000"/>
            </w14:solidFill>
            <w14:prstDash w14:val="solid"/>
            <w14:bevel/>
          </w14:textOutline>
        </w:rPr>
        <w:t>。</w:t>
      </w:r>
    </w:p>
    <w:p>
      <w:pPr>
        <w:spacing w:line="240" w:lineRule="auto"/>
        <w:rPr>
          <w:color w:val="auto"/>
          <w:highlight w:val="none"/>
        </w:rPr>
      </w:pPr>
    </w:p>
    <w:p>
      <w:pPr>
        <w:spacing w:line="240" w:lineRule="auto"/>
        <w:rPr>
          <w:color w:val="auto"/>
          <w:highlight w:val="none"/>
        </w:rPr>
      </w:pPr>
    </w:p>
    <w:p>
      <w:pPr>
        <w:spacing w:line="240" w:lineRule="auto"/>
        <w:rPr>
          <w:color w:val="auto"/>
          <w:highlight w:val="none"/>
        </w:rPr>
        <w:sectPr>
          <w:headerReference r:id="rId41" w:type="default"/>
          <w:footerReference r:id="rId42" w:type="default"/>
          <w:pgSz w:w="11905" w:h="16838"/>
          <w:pgMar w:top="1417" w:right="1417" w:bottom="1417" w:left="1417" w:header="0" w:footer="1134" w:gutter="0"/>
          <w:cols w:space="0" w:num="1"/>
        </w:sectPr>
      </w:pPr>
    </w:p>
    <w:p>
      <w:pPr>
        <w:spacing w:before="114" w:line="240" w:lineRule="auto"/>
        <w:jc w:val="center"/>
        <w:outlineLvl w:val="0"/>
        <w:rPr>
          <w:rFonts w:ascii="宋体" w:hAnsi="宋体" w:eastAsia="宋体" w:cs="宋体"/>
          <w:color w:val="auto"/>
          <w:spacing w:val="11"/>
          <w:sz w:val="36"/>
          <w:szCs w:val="36"/>
          <w:highlight w:val="none"/>
          <w14:textOutline w14:w="6540" w14:cap="sq" w14:cmpd="sng" w14:algn="ctr">
            <w14:solidFill>
              <w14:srgbClr w14:val="000000"/>
            </w14:solidFill>
            <w14:prstDash w14:val="solid"/>
            <w14:bevel/>
          </w14:textOutline>
        </w:rPr>
      </w:pPr>
      <w:bookmarkStart w:id="173" w:name="_Toc19151"/>
      <w:r>
        <w:rPr>
          <w:rFonts w:hint="eastAsia" w:ascii="宋体" w:hAnsi="宋体" w:eastAsia="宋体" w:cs="宋体"/>
          <w:color w:val="auto"/>
          <w:spacing w:val="11"/>
          <w:sz w:val="36"/>
          <w:szCs w:val="36"/>
          <w:highlight w:val="none"/>
          <w14:textOutline w14:w="6540" w14:cap="sq" w14:cmpd="sng" w14:algn="ctr">
            <w14:solidFill>
              <w14:srgbClr w14:val="000000"/>
            </w14:solidFill>
            <w14:prstDash w14:val="solid"/>
            <w14:bevel/>
          </w14:textOutline>
        </w:rPr>
        <w:t>第七章  评标办法</w:t>
      </w:r>
      <w:bookmarkEnd w:id="173"/>
    </w:p>
    <w:p>
      <w:pPr>
        <w:spacing w:line="240" w:lineRule="auto"/>
        <w:ind w:firstLine="482" w:firstLineChars="200"/>
        <w:outlineLvl w:val="1"/>
        <w:rPr>
          <w:rFonts w:ascii="宋体" w:hAnsi="宋体" w:eastAsia="宋体" w:cs="宋体"/>
          <w:b/>
          <w:bCs/>
          <w:color w:val="auto"/>
          <w:sz w:val="24"/>
          <w:szCs w:val="24"/>
          <w:highlight w:val="none"/>
        </w:rPr>
      </w:pPr>
      <w:bookmarkStart w:id="174" w:name="_Toc5040"/>
      <w:bookmarkStart w:id="175" w:name="_Toc622"/>
      <w:bookmarkStart w:id="176" w:name="_Toc25682"/>
      <w:r>
        <w:rPr>
          <w:rFonts w:hint="eastAsia" w:ascii="宋体" w:hAnsi="宋体" w:eastAsia="宋体" w:cs="宋体"/>
          <w:b/>
          <w:bCs/>
          <w:color w:val="auto"/>
          <w:sz w:val="24"/>
          <w:szCs w:val="24"/>
          <w:highlight w:val="none"/>
          <w:lang w:eastAsia="zh-CN"/>
        </w:rPr>
        <w:t>一、</w:t>
      </w:r>
      <w:r>
        <w:rPr>
          <w:rFonts w:hint="eastAsia" w:ascii="宋体" w:hAnsi="宋体" w:eastAsia="宋体" w:cs="宋体"/>
          <w:b/>
          <w:bCs/>
          <w:color w:val="auto"/>
          <w:sz w:val="24"/>
          <w:szCs w:val="24"/>
          <w:highlight w:val="none"/>
        </w:rPr>
        <w:t>总则</w:t>
      </w:r>
      <w:bookmarkEnd w:id="174"/>
      <w:bookmarkEnd w:id="175"/>
      <w:bookmarkEnd w:id="176"/>
    </w:p>
    <w:p>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1.1 根据《中华人民共和国政府采购法》《中华人民共和国政府采购法实施条例》《政府采购货物和服务招标投标管理办法》等法律制度，结合采购项目特点制定本评标办法。</w:t>
      </w:r>
    </w:p>
    <w:p>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1.2 评标工作由招标代理机构负责组织，具体评标事务由招标代理机构依法组建的评标委员会负责。评标委员会由招标人代表和有关技术、经济、法律等方面的专家组成。</w:t>
      </w:r>
    </w:p>
    <w:p>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1.3 评标工作应遵循公平、公正、科学及择优的原则，并以相同的评标程序和标准对待所有的投标人。</w:t>
      </w:r>
    </w:p>
    <w:p>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1.4 评标委员会按照招标文件规定的评标方法和标准进行评标，并独立履行下列职责：</w:t>
      </w:r>
    </w:p>
    <w:p>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1.4.1 熟悉和理解招标文件；</w:t>
      </w:r>
    </w:p>
    <w:p>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1.4.2 审查投标人投标文件等是否满足招标文件要求，并作出评价；</w:t>
      </w:r>
    </w:p>
    <w:p>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1.4.3 根据需要要求招标采购单位对招标文件作出解释；根据需要要求投标人对投标文件有关事项作出澄清、说明或者更正；</w:t>
      </w:r>
    </w:p>
    <w:p>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1.4.4 推荐中标候选人，或者受招标人委托确定中标人；</w:t>
      </w:r>
    </w:p>
    <w:p>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1.4.5 起草评标报告并进行签署；</w:t>
      </w:r>
    </w:p>
    <w:p>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1.4.6 向招标采购单位、财政部门或者其他监督部门报告非法干预评标工作的行为；</w:t>
      </w:r>
    </w:p>
    <w:p>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1.4.7 法律、法规和规章规定的其他职责。</w:t>
      </w:r>
    </w:p>
    <w:p>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1.5 评标过程独立、保密。投标人非法干预</w:t>
      </w:r>
      <w:r>
        <w:rPr>
          <w:rFonts w:hint="eastAsia" w:ascii="宋体" w:hAnsi="宋体" w:eastAsia="宋体" w:cs="宋体"/>
          <w:color w:val="auto"/>
          <w:spacing w:val="6"/>
          <w:sz w:val="24"/>
          <w:szCs w:val="24"/>
          <w:highlight w:val="none"/>
          <w:lang w:eastAsia="zh-CN"/>
        </w:rPr>
        <w:t>评标</w:t>
      </w:r>
      <w:r>
        <w:rPr>
          <w:rFonts w:hint="eastAsia" w:ascii="宋体" w:hAnsi="宋体" w:eastAsia="宋体" w:cs="宋体"/>
          <w:color w:val="auto"/>
          <w:spacing w:val="6"/>
          <w:sz w:val="24"/>
          <w:szCs w:val="24"/>
          <w:highlight w:val="none"/>
        </w:rPr>
        <w:t>过程的行为将导致其投标文件作为无效处理。</w:t>
      </w:r>
    </w:p>
    <w:p>
      <w:pPr>
        <w:spacing w:line="240" w:lineRule="auto"/>
        <w:ind w:firstLine="504" w:firstLineChars="200"/>
        <w:rPr>
          <w:rFonts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1.6 评标委员会评价投标文件的响应性，对于投标人而言，除评标委员会要求其澄清、说明或者更正而提供的资料外，仅依据投标文件本身的内容，不寻求其他外部证据。</w:t>
      </w:r>
    </w:p>
    <w:p>
      <w:pPr>
        <w:spacing w:line="240" w:lineRule="auto"/>
        <w:ind w:firstLine="482" w:firstLineChars="200"/>
        <w:outlineLvl w:val="1"/>
        <w:rPr>
          <w:rFonts w:ascii="宋体" w:hAnsi="宋体" w:eastAsia="宋体" w:cs="宋体"/>
          <w:b/>
          <w:bCs/>
          <w:color w:val="auto"/>
          <w:sz w:val="24"/>
          <w:szCs w:val="24"/>
          <w:highlight w:val="none"/>
        </w:rPr>
      </w:pPr>
      <w:bookmarkStart w:id="177" w:name="_Toc26276"/>
      <w:bookmarkStart w:id="178" w:name="_Toc13707"/>
      <w:bookmarkStart w:id="179" w:name="_Toc15913"/>
      <w:r>
        <w:rPr>
          <w:rFonts w:hint="eastAsia" w:ascii="宋体" w:hAnsi="宋体" w:eastAsia="宋体" w:cs="宋体"/>
          <w:b/>
          <w:bCs/>
          <w:color w:val="auto"/>
          <w:sz w:val="24"/>
          <w:szCs w:val="24"/>
          <w:highlight w:val="none"/>
          <w:lang w:eastAsia="zh-CN"/>
        </w:rPr>
        <w:t>二、</w:t>
      </w:r>
      <w:r>
        <w:rPr>
          <w:rFonts w:hint="eastAsia" w:ascii="宋体" w:hAnsi="宋体" w:eastAsia="宋体" w:cs="宋体"/>
          <w:b/>
          <w:bCs/>
          <w:color w:val="auto"/>
          <w:sz w:val="24"/>
          <w:szCs w:val="24"/>
          <w:highlight w:val="none"/>
        </w:rPr>
        <w:t>评标方法</w:t>
      </w:r>
      <w:bookmarkEnd w:id="177"/>
      <w:bookmarkEnd w:id="178"/>
      <w:bookmarkEnd w:id="179"/>
    </w:p>
    <w:p>
      <w:pPr>
        <w:spacing w:before="75" w:line="240" w:lineRule="auto"/>
        <w:ind w:left="504"/>
        <w:rPr>
          <w:rFonts w:ascii="宋体" w:hAnsi="宋体" w:eastAsia="宋体" w:cs="宋体"/>
          <w:color w:val="auto"/>
          <w:spacing w:val="8"/>
          <w:sz w:val="24"/>
          <w:szCs w:val="24"/>
          <w:highlight w:val="none"/>
        </w:rPr>
      </w:pPr>
      <w:r>
        <w:rPr>
          <w:rFonts w:hint="eastAsia" w:ascii="宋体" w:hAnsi="宋体" w:eastAsia="宋体" w:cs="宋体"/>
          <w:color w:val="auto"/>
          <w:spacing w:val="6"/>
          <w:sz w:val="24"/>
          <w:szCs w:val="24"/>
          <w:highlight w:val="none"/>
        </w:rPr>
        <w:t>本项目评标方法为：</w:t>
      </w:r>
      <w:r>
        <w:rPr>
          <w:rFonts w:hint="eastAsia" w:ascii="宋体" w:hAnsi="宋体" w:eastAsia="宋体" w:cs="宋体"/>
          <w:b/>
          <w:bCs/>
          <w:color w:val="auto"/>
          <w:sz w:val="24"/>
          <w:szCs w:val="24"/>
          <w:highlight w:val="none"/>
        </w:rPr>
        <w:t>综合评分法</w:t>
      </w:r>
      <w:r>
        <w:rPr>
          <w:rFonts w:ascii="宋体" w:hAnsi="宋体" w:eastAsia="宋体" w:cs="宋体"/>
          <w:color w:val="auto"/>
          <w:spacing w:val="8"/>
          <w:sz w:val="24"/>
          <w:szCs w:val="24"/>
          <w:highlight w:val="none"/>
        </w:rPr>
        <w:t>。</w:t>
      </w:r>
    </w:p>
    <w:p>
      <w:pPr>
        <w:spacing w:line="240" w:lineRule="auto"/>
        <w:ind w:firstLine="482" w:firstLineChars="200"/>
        <w:outlineLvl w:val="1"/>
        <w:rPr>
          <w:rFonts w:ascii="宋体" w:hAnsi="宋体" w:eastAsia="宋体" w:cs="宋体"/>
          <w:b/>
          <w:bCs/>
          <w:color w:val="auto"/>
          <w:sz w:val="24"/>
          <w:szCs w:val="24"/>
          <w:highlight w:val="none"/>
        </w:rPr>
      </w:pPr>
      <w:bookmarkStart w:id="180" w:name="_Toc19465"/>
      <w:bookmarkStart w:id="181" w:name="_Toc11326"/>
      <w:bookmarkStart w:id="182" w:name="_Toc30788"/>
      <w:r>
        <w:rPr>
          <w:rFonts w:hint="eastAsia" w:ascii="宋体" w:hAnsi="宋体" w:eastAsia="宋体" w:cs="宋体"/>
          <w:b/>
          <w:bCs/>
          <w:color w:val="auto"/>
          <w:sz w:val="24"/>
          <w:szCs w:val="24"/>
          <w:highlight w:val="none"/>
          <w:lang w:eastAsia="zh-CN"/>
        </w:rPr>
        <w:t>三、</w:t>
      </w:r>
      <w:r>
        <w:rPr>
          <w:rFonts w:hint="eastAsia" w:ascii="宋体" w:hAnsi="宋体" w:eastAsia="宋体" w:cs="宋体"/>
          <w:b/>
          <w:bCs/>
          <w:color w:val="auto"/>
          <w:sz w:val="24"/>
          <w:szCs w:val="24"/>
          <w:highlight w:val="none"/>
        </w:rPr>
        <w:t>评标程序</w:t>
      </w:r>
      <w:bookmarkEnd w:id="180"/>
      <w:bookmarkEnd w:id="181"/>
      <w:bookmarkEnd w:id="182"/>
    </w:p>
    <w:p>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招标人或者招标代理机构应当依法对投标人的资格进行审查，合格投标人不少于3人时，进入评标委员会正式评标环节。</w:t>
      </w:r>
    </w:p>
    <w:p>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3.1 熟悉和理解招标文件和停止评标。</w:t>
      </w:r>
    </w:p>
    <w:p>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3.1.1 评标委员会正式评标前，应当对招标文件进行熟悉和理解，内容主要包括招标文件中实质性要求、采购项目技术、服务和商务要求、评标方法和标准以及可能涉及签订采购合同的内容等。</w:t>
      </w:r>
    </w:p>
    <w:p>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3.1.2 评标委员会熟悉和理解招标文件以及评标过程中，发现本招标文件有下列情形之一的，评标委员会应当停止评标：</w:t>
      </w:r>
    </w:p>
    <w:p>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3.1.2.1 招标文件的规定存在歧义、重大缺陷的；</w:t>
      </w:r>
    </w:p>
    <w:p>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3.1.2.2 招标文件明显以不合理条件对供应商实行差别待遇或者歧视待遇的；</w:t>
      </w:r>
    </w:p>
    <w:p>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3.1.2.3 采购项目属于国家规定的优先、强制采购范围，但是招标文件未依法体现优先、强制采购相关规定的；</w:t>
      </w:r>
    </w:p>
    <w:p>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3.1.2.4 采购项目属于政府采购促进中小企业发展的范围，但是招标文件未依法体现促进中小企业发展相关规定的；</w:t>
      </w:r>
    </w:p>
    <w:p>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3.1.2.5 招标文件规定的评标方法是综合评分法、最低评标价法之外的评标方法，或者虽然名称为综合评分法、最低评标价法，但实际上不符合国家规定；</w:t>
      </w:r>
    </w:p>
    <w:p>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3.1.2.6 招标文件将投标人的资格条件列为评分因素的；</w:t>
      </w:r>
    </w:p>
    <w:p>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3.1.2.7 招标文件有违反国家其他有关强制性规定的情形。</w:t>
      </w:r>
    </w:p>
    <w:p>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3.1.3 出现本条 3.1.2 规定应当停止评标情形的，评标委员会成员应当向招标采购单位书面说明情况。除本条规定和评标委员会无法依法组建的情形外，评标委员会成员不得以任何方式和理由停止评标。</w:t>
      </w:r>
    </w:p>
    <w:p>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3.2 符合性检查。</w:t>
      </w:r>
    </w:p>
    <w:p>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3.2.1 评标委员会依据本招标文件的实质性要求，对符合资格的投标文件进行审查，以确定其是否满足本招标文件的实质性要求。本项目符合性审查事项仅限于本招标文件的明确规定。投标文件是否满足招标文件的实质性要求，必须以本招标文件的明确规定作为依据，否则，不能对投标文件作为无效处理，评标委员会不得臆测符合性审查事项。</w:t>
      </w:r>
    </w:p>
    <w:p>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3.2.2 投标文件(包括单独递交的开标一览表)有下列情形的，本项目不作为实质性要求进行规定，即不作为符合性审查事项，不得作为无效投标处理：</w:t>
      </w:r>
    </w:p>
    <w:p>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3.2.2.1 存在个别地方(不超过2个)没有法定代表人(负责人)签字，但有法定代表人(负责人)的私人印章或者有效授权代理人签字的；</w:t>
      </w:r>
    </w:p>
    <w:p>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3.2.2.2 除招标文件明确要求加盖单位(法人)公章的以外，其他地方以相关专用章加盖的；</w:t>
      </w:r>
    </w:p>
    <w:p>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3.2.2.3 以骑缝章的形式代替投标文件内容逐页盖章的(但是骑缝章模糊不清，印章名称无法辨认的除外)；</w:t>
      </w:r>
    </w:p>
    <w:p>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3.2.2.4 其他不影响采购项目实质性要求的情形。</w:t>
      </w:r>
    </w:p>
    <w:p>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3.2.3 除政府采购法律制度规定的情形外，本项目投标人或者其投标文件有下列情形之一的，作为无效投标处理：</w:t>
      </w:r>
    </w:p>
    <w:p>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3.2.3.1 投标文件正副本数量不足的；</w:t>
      </w:r>
    </w:p>
    <w:p>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3.2.3.2 投标文件未按照招标文件要求签署、盖章的；</w:t>
      </w:r>
    </w:p>
    <w:p>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3.2.3.3 投标文件组成明显不符合招标文件的规定要求，影响评标委员会评判的；</w:t>
      </w:r>
    </w:p>
    <w:p>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3.2.3.4 投标文件的格式、语言、计量单位、报价货币、知识产权、投标有效期等不符合招标文件的规定，影响评标委员会评判的；</w:t>
      </w:r>
    </w:p>
    <w:p>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3.2.3.5 投标报价不符合招标文件规定的价格标底和其他报价规定的；</w:t>
      </w:r>
    </w:p>
    <w:p>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3.2.3.6 技术应答内容没有完全响应招标文件的实质性要求的；</w:t>
      </w:r>
    </w:p>
    <w:p>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3.2.3.7 招标文件有明确要求，但投标文件未载明或者载明的采购项目履约时间、方式、数量与招标文件要求不一致的；</w:t>
      </w:r>
    </w:p>
    <w:p>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3.2.3.8 投标文件含有招标人不能接受的附加条件的。</w:t>
      </w:r>
    </w:p>
    <w:p>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3.3 比较与评价。按招标文件中规定的评标方法和标准，对未作无效投标处理的投标文件进行技术、服务、商务等方面评估，综合比较与评价。</w:t>
      </w:r>
    </w:p>
    <w:p>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3.4 复核。评分汇总结束后，评标委员会应当进行复核，特别要对拟推荐为中标候选人的、报价最低的、投标文件被认定为无效的进行重点复核。</w:t>
      </w:r>
    </w:p>
    <w:p>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3.5 推荐三名中标候选人。中标候选人应当排序。</w:t>
      </w:r>
    </w:p>
    <w:p>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中标候选人；报价相同且满足招标文件全部实质性要求且按照评审因素的量化指标评审得分也相同的并列，优先选择不发达地区或少数民族地区或脱贫攻坚地区的投标人；报价相同且满足招标文件全部实质性要求且按照评审因素的量化指标评审得分也相同无投标人属于不发达地区或少数民族地区或脱贫攻坚地区的或投标人均属于不发达地区或少数民族地区或脱贫攻坚地区的并列，由招标人自主采取公平、择优的方式选择中标候选人。(不发达地区或脱贫攻坚地区的投标人需提供属于不发达地区或脱贫攻坚的相关证明材料，少数民族地区提供相关证明材料或投标人注册地为少数民族地区。)</w:t>
      </w:r>
    </w:p>
    <w:p>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评标委员会可推荐的中标候选人数量不能满足招标文件规定的数量的，只有在获得招标人书面同意后，可以根据实际情况推荐中标候选供应商。未获得招标人的书面同意,评标委员会不得在招标文件规定之外推荐中标候选人，否则，招标人可以不予认可。</w:t>
      </w:r>
    </w:p>
    <w:p>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3.6 出具评标报告。评标委员会推荐中标候选人后，应当向招标采购单位出具评标报告。评标报告应当包括下列内容：</w:t>
      </w:r>
    </w:p>
    <w:p>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3.6.1 招标公告刊登的媒体名称、开标日期和地点；</w:t>
      </w:r>
    </w:p>
    <w:p>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3.6.2 获取招标文件的投标人名单和评标委员会成员名单；</w:t>
      </w:r>
    </w:p>
    <w:p>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3.6.3 评标方法和标准；</w:t>
      </w:r>
    </w:p>
    <w:p>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3.6.4 开标记录和评标情况及说明，包括无效投标人名单及原因；</w:t>
      </w:r>
    </w:p>
    <w:p>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3.6.5 评标结果和中标候选供应商排序表；</w:t>
      </w:r>
    </w:p>
    <w:p>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3.6.6 评标委员会授标建议；</w:t>
      </w:r>
    </w:p>
    <w:p>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3.6.7 报价最高的投标人为中标候选人的，评标委员会应当对其报价的合理性予以特别说明。</w:t>
      </w:r>
    </w:p>
    <w:p>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评标委员会成员应当在评标报告中签字确认，对评标过程和结果有不同意见的，应当在评标报告中写明并说明理由。签字但未写明不同意见或者未说明理由的，视同无意见。拒不签字又未另行书面说明其不同意见和理由的，视同同意评标结果。</w:t>
      </w:r>
    </w:p>
    <w:p>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3.7 评标争议处理规则。评标委员会在评审过程中，对于符合性审查、对投标人投标文件做无效投标处理及其他需要共同认定的事项存在争议的，应当以少数服从多数的原则做出结论，但不得违背法律法规和招标文件规定。有不同意见的评标委员会成员认为认定过程和结果不符合法律法规或者招标文件规定的，应当及时向招标采购单位书面反映。招标采购单位收到书面反映后，应当书面报告采购项目同级财政部门依法处理。</w:t>
      </w:r>
    </w:p>
    <w:p>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3.8 投标人应当书面澄清、说明或者更正。</w:t>
      </w:r>
    </w:p>
    <w:p>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3.8.1 在评标过程中，投标人投标文件实质性符合招标文件要求的前提下，评标委员会对投标文件中含义不明确、同类问题表述不一致或者有明显文字和计算错误的内容，应当以书面形式(须由评标委员会全体成员签字)要求投标人作出必要的书面澄清、说明或者更正，并给予投标人必要的反馈时间。</w:t>
      </w:r>
    </w:p>
    <w:p>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3.8.2 投标人应当书面澄清、说明或者更正，并加盖公章或签字确认(投标人为法人的，应当由其法定代表人/单位负责人或者授权代表签字确认；投标人为其他组织的，应当由其主要负责人或者代理人签字确认；投标人为自然人的，应当由其本人或者代理人签字确认)，否则无效。澄清、说明或者更正不影响投标文件的效力，有效的澄清、说明或者更正材料，是投标文件的组成部分。</w:t>
      </w:r>
    </w:p>
    <w:p>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3.8.3 评标委员会要求投标人澄清、说明或者更正，不得超出招标文件的范围，不得以此让投标人实质改变投标文件的内容，不得影响投标人公平竞争。本项目下列内容不得澄清：</w:t>
      </w:r>
    </w:p>
    <w:p>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3.8.3.1 按财政部规定应当在评标时不予承认的投标文件内容事项；</w:t>
      </w:r>
    </w:p>
    <w:p>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3.8.3.2 投标文件中已经明确的内容事项；</w:t>
      </w:r>
    </w:p>
    <w:p>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3.8.3.3 投标文件未提供的材料。</w:t>
      </w:r>
    </w:p>
    <w:p>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3.8.4 本项目采购过程中，投标文件出现下列情况的，按照下列规定修正：</w:t>
      </w:r>
    </w:p>
    <w:p>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3.8.4.1 投标文件中开标一览表(报价表)内容与投标文件中响应内容不一致的，以开标一览表(报价表)为准；</w:t>
      </w:r>
    </w:p>
    <w:p>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3.8.4.2 大写金额和小写金额不一致的，以大写金额为准；</w:t>
      </w:r>
    </w:p>
    <w:p>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3.8.4.3 单价金额小数点或者百分比有明显错位的，以开标一览表的总价为准，并修改单价；</w:t>
      </w:r>
    </w:p>
    <w:p>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3.8.4.4 总价金额与按单价汇总金额不一致的，以单价金额计算结果为准。</w:t>
      </w:r>
    </w:p>
    <w:p>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出现3.8.4.4规定情形，单价汇总金额比总价金额高，且超过采购预算或者本项目最高限价的，投标人投标文件应作为无效投标处理；单价汇总金额比总价金额高，但未超过采购预算或者本项目最高限价的，应以单价汇总金额作为价格评分依据。</w:t>
      </w:r>
    </w:p>
    <w:p>
      <w:pPr>
        <w:spacing w:line="240" w:lineRule="auto"/>
        <w:ind w:firstLine="482" w:firstLineChars="200"/>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同时出现两种以上不一致的，按照前款规定的顺序修正。修正后的报价经投标人确认后产生约束力，投标人不确认的，其投标无效。</w:t>
      </w:r>
    </w:p>
    <w:p>
      <w:pPr>
        <w:spacing w:line="240" w:lineRule="auto"/>
        <w:ind w:firstLine="482" w:firstLineChars="200"/>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注：评标委员会当积极履行澄清、说明或者更正的职责，不得滥用权力。投标人的投标文件可以要求澄清、说明或者更正的，不得未经澄清、说明或者更正而直接作无效投标处理。</w:t>
      </w:r>
    </w:p>
    <w:p>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3.9 低于成本价投标处理。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投标人书面说明应当按照国家财务会计制度的规定要求，逐项就投标人提供的货物、工程和服务的主营业务成本(应根据投标人企业类型予以区别)、税金及附加、销售费用、管理费用、财务费用等成本构成事项详细陈述。</w:t>
      </w:r>
    </w:p>
    <w:p>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投标人书面说明应当签字确认或者加盖公章，否则无效。书面说明的签字确认，投标人为法人的，由其法定代表人或其授权代表签字确认；投标人为其他组织的，由其主要负责人或其授权代表签字确认；投标人为自然人的，由其本人或其授权代表签字确认。</w:t>
      </w:r>
    </w:p>
    <w:p>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投标人提供书面说明后，评标委员会应当结合采购项目采购需求、专业实际情况、投标人财务状况报告、与其他投标人比较情况等就投标人书面说明进行审查评价。投标人拒绝或者变相拒绝提供有效书面说明或者书面说明不能证明其报价合理性的，评标委员会应当将其投标文件、响应文件作为无效处理。</w:t>
      </w:r>
    </w:p>
    <w:p>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3.10招标采购单位现场复核评标结果。</w:t>
      </w:r>
    </w:p>
    <w:p>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3.10.1评标结果汇总完成后，招标采购单位应当组织2名以上的本单位工作人员，在采购现场监督人员的监督之下，依据有关的法律制度和采购文件对评标结果进行复核，出具复核报告。存在下列情形之一的，招标采购单位应当根据情况书面建议评标委员会现场修改评标结果或者重新评标：</w:t>
      </w:r>
    </w:p>
    <w:p>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3.10.1.1分值汇总计算错误的；</w:t>
      </w:r>
    </w:p>
    <w:p>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3.10.1.2分项评分超出评分标准范围的；</w:t>
      </w:r>
    </w:p>
    <w:p>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3.10.1.3评标委员会成员对客观评审因素评分不一致的；</w:t>
      </w:r>
    </w:p>
    <w:p>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3.10.1.4经评标委员会认定评分畸高、畸低的。</w:t>
      </w:r>
    </w:p>
    <w:p>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存在本条上述规定情形的，应当按照规定现场修改评标结果或者重新评审，并在评标报告中详细记载有关事宜；不采纳招标采购单位书面建议的，应当书面说明理由。招标采购单位书面建议未被评标委员会采纳的，应当按照规定程序要求继续组织实施采购活动，不得擅自中止采购活动。</w:t>
      </w:r>
    </w:p>
    <w:p>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3.10.2有下列情形之一的，不得修改评标结果或者重新评标：</w:t>
      </w:r>
    </w:p>
    <w:p>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3.10.2.1评标委员会已经出具评标报告并且离开评标现场的；</w:t>
      </w:r>
    </w:p>
    <w:p>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3.10.2.2招标采购单位现场复核时，复核工作人员数量不足的；</w:t>
      </w:r>
    </w:p>
    <w:p>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3.10.2.3招标采购单位现场复核时，没有采购监督人员现场监督的；</w:t>
      </w:r>
    </w:p>
    <w:p>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3.10.2.4招标采购单位现场复核内容超出规定范围的；</w:t>
      </w:r>
    </w:p>
    <w:p>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 xml:space="preserve">3.10.2.5招标采购单位未提供书面建议的。 </w:t>
      </w:r>
    </w:p>
    <w:p>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3.11. 评标细则及标准</w:t>
      </w:r>
    </w:p>
    <w:p>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3.11.1 本次综合评分的因素是：详见“综合评分明细表”。</w:t>
      </w:r>
    </w:p>
    <w:p>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3.11.2 评标委员会成员应当根据自身专业情况对每个有效投标人的投标文件进行独立评分，加权汇总每项评分因素的得分，得出每个有效投标人的总分。技术类评分因素由技术方面评标委员会成员独立评分。经济类评分因素由经济方面评标委员会成员独立评分。政策合同类的评分因素由法律方面评标委员会成员独立评分。招标人代表原则上对技术类评分因素独立评分。价格和其他不能明确区分的评分因素由评标委员会成员共同评分。</w:t>
      </w:r>
    </w:p>
    <w:p>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3.11.3 综合评分明细表</w:t>
      </w:r>
    </w:p>
    <w:p>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3.11.3.1 综合评分明细表的制定以科学合理、降低评委会自由裁量权为原则。</w:t>
      </w:r>
    </w:p>
    <w:p>
      <w:pPr>
        <w:spacing w:line="240" w:lineRule="auto"/>
        <w:ind w:firstLine="504" w:firstLineChars="200"/>
        <w:rPr>
          <w:rFonts w:ascii="宋体" w:hAnsi="宋体" w:eastAsia="宋体" w:cs="宋体"/>
          <w:color w:val="auto"/>
          <w:spacing w:val="6"/>
          <w:sz w:val="23"/>
          <w:szCs w:val="23"/>
          <w:highlight w:val="none"/>
        </w:rPr>
      </w:pPr>
      <w:r>
        <w:rPr>
          <w:rFonts w:hint="eastAsia" w:ascii="宋体" w:hAnsi="宋体" w:eastAsia="宋体" w:cs="宋体"/>
          <w:color w:val="auto"/>
          <w:spacing w:val="6"/>
          <w:sz w:val="24"/>
          <w:szCs w:val="24"/>
          <w:highlight w:val="none"/>
        </w:rPr>
        <w:t>3.11.3.2 综合评分明细表</w:t>
      </w:r>
    </w:p>
    <w:p>
      <w:pPr>
        <w:spacing w:line="240" w:lineRule="auto"/>
        <w:rPr>
          <w:color w:val="auto"/>
          <w:sz w:val="2"/>
          <w:highlight w:val="none"/>
        </w:rPr>
      </w:pPr>
    </w:p>
    <w:p>
      <w:pPr>
        <w:spacing w:line="240" w:lineRule="auto"/>
        <w:rPr>
          <w:rFonts w:ascii="宋体" w:hAnsi="宋体" w:eastAsia="宋体" w:cs="宋体"/>
          <w:b/>
          <w:bCs/>
          <w:color w:val="auto"/>
          <w:spacing w:val="6"/>
          <w:sz w:val="28"/>
          <w:szCs w:val="28"/>
          <w:highlight w:val="none"/>
        </w:rPr>
      </w:pPr>
      <w:r>
        <w:rPr>
          <w:rFonts w:ascii="宋体" w:hAnsi="宋体" w:eastAsia="宋体" w:cs="宋体"/>
          <w:b/>
          <w:bCs/>
          <w:color w:val="auto"/>
          <w:spacing w:val="6"/>
          <w:sz w:val="28"/>
          <w:szCs w:val="28"/>
          <w:highlight w:val="none"/>
        </w:rPr>
        <w:br w:type="page"/>
      </w:r>
    </w:p>
    <w:p>
      <w:pPr>
        <w:pStyle w:val="2"/>
        <w:spacing w:line="240" w:lineRule="auto"/>
        <w:rPr>
          <w:color w:val="auto"/>
          <w:highlight w:val="none"/>
        </w:rPr>
      </w:pPr>
    </w:p>
    <w:p>
      <w:pPr>
        <w:spacing w:line="240" w:lineRule="auto"/>
        <w:ind w:firstLine="586" w:firstLineChars="200"/>
        <w:jc w:val="center"/>
        <w:outlineLvl w:val="9"/>
        <w:rPr>
          <w:rFonts w:ascii="宋体" w:hAnsi="宋体" w:eastAsia="宋体" w:cs="宋体"/>
          <w:b/>
          <w:bCs/>
          <w:color w:val="auto"/>
          <w:spacing w:val="6"/>
          <w:sz w:val="28"/>
          <w:szCs w:val="28"/>
          <w:highlight w:val="none"/>
        </w:rPr>
      </w:pPr>
      <w:bookmarkStart w:id="183" w:name="_Toc13872"/>
      <w:bookmarkStart w:id="184" w:name="_Toc22288"/>
      <w:r>
        <w:rPr>
          <w:rFonts w:hint="eastAsia" w:ascii="宋体" w:hAnsi="宋体" w:eastAsia="宋体" w:cs="宋体"/>
          <w:b/>
          <w:bCs/>
          <w:color w:val="auto"/>
          <w:spacing w:val="6"/>
          <w:sz w:val="28"/>
          <w:szCs w:val="28"/>
          <w:highlight w:val="none"/>
        </w:rPr>
        <w:t xml:space="preserve">   综合评分明细表</w:t>
      </w:r>
      <w:bookmarkEnd w:id="183"/>
      <w:bookmarkEnd w:id="184"/>
    </w:p>
    <w:tbl>
      <w:tblPr>
        <w:tblStyle w:val="18"/>
        <w:tblW w:w="0" w:type="auto"/>
        <w:jc w:val="center"/>
        <w:tblLayout w:type="fixed"/>
        <w:tblCellMar>
          <w:top w:w="0" w:type="dxa"/>
          <w:left w:w="108" w:type="dxa"/>
          <w:bottom w:w="0" w:type="dxa"/>
          <w:right w:w="108" w:type="dxa"/>
        </w:tblCellMar>
      </w:tblPr>
      <w:tblGrid>
        <w:gridCol w:w="813"/>
        <w:gridCol w:w="1071"/>
        <w:gridCol w:w="815"/>
        <w:gridCol w:w="5231"/>
        <w:gridCol w:w="1002"/>
      </w:tblGrid>
      <w:tr>
        <w:tblPrEx>
          <w:tblCellMar>
            <w:top w:w="0" w:type="dxa"/>
            <w:left w:w="108" w:type="dxa"/>
            <w:bottom w:w="0" w:type="dxa"/>
            <w:right w:w="108" w:type="dxa"/>
          </w:tblCellMar>
        </w:tblPrEx>
        <w:trPr>
          <w:trHeight w:val="684" w:hRule="atLeast"/>
          <w:jc w:val="center"/>
        </w:trPr>
        <w:tc>
          <w:tcPr>
            <w:tcW w:w="81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N w:val="0"/>
              <w:spacing w:line="400" w:lineRule="exact"/>
              <w:ind w:firstLine="28"/>
              <w:jc w:val="center"/>
              <w:rPr>
                <w:rFonts w:hint="eastAsia" w:ascii="宋体" w:hAnsi="宋体" w:eastAsia="宋体" w:cs="宋体"/>
                <w:b/>
                <w:color w:val="auto"/>
                <w:sz w:val="24"/>
                <w:szCs w:val="24"/>
                <w:highlight w:val="none"/>
              </w:rPr>
            </w:pPr>
            <w:bookmarkStart w:id="185" w:name="_Toc1463"/>
            <w:r>
              <w:rPr>
                <w:rFonts w:hint="eastAsia" w:ascii="宋体" w:hAnsi="宋体" w:eastAsia="宋体" w:cs="宋体"/>
                <w:b/>
                <w:color w:val="auto"/>
                <w:sz w:val="24"/>
                <w:szCs w:val="24"/>
                <w:highlight w:val="none"/>
              </w:rPr>
              <w:t>序号</w:t>
            </w:r>
          </w:p>
        </w:tc>
        <w:tc>
          <w:tcPr>
            <w:tcW w:w="1071" w:type="dxa"/>
            <w:tcBorders>
              <w:top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N w:val="0"/>
              <w:spacing w:line="400" w:lineRule="exact"/>
              <w:ind w:firstLine="28"/>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评分</w:t>
            </w:r>
          </w:p>
          <w:p>
            <w:pPr>
              <w:autoSpaceDN w:val="0"/>
              <w:spacing w:line="400" w:lineRule="exact"/>
              <w:ind w:firstLine="28"/>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因素</w:t>
            </w:r>
          </w:p>
        </w:tc>
        <w:tc>
          <w:tcPr>
            <w:tcW w:w="815" w:type="dxa"/>
            <w:tcBorders>
              <w:top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N w:val="0"/>
              <w:spacing w:line="400" w:lineRule="exact"/>
              <w:ind w:firstLine="28"/>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权重分值</w:t>
            </w:r>
          </w:p>
        </w:tc>
        <w:tc>
          <w:tcPr>
            <w:tcW w:w="5231" w:type="dxa"/>
            <w:tcBorders>
              <w:top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N w:val="0"/>
              <w:spacing w:line="400" w:lineRule="exact"/>
              <w:ind w:firstLine="28"/>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评分标准</w:t>
            </w:r>
          </w:p>
        </w:tc>
        <w:tc>
          <w:tcPr>
            <w:tcW w:w="1002" w:type="dxa"/>
            <w:tcBorders>
              <w:top w:val="single" w:color="000000" w:sz="4" w:space="0"/>
              <w:bottom w:val="single" w:color="000000" w:sz="4" w:space="0"/>
              <w:right w:val="single" w:color="000000" w:sz="4" w:space="0"/>
            </w:tcBorders>
            <w:noWrap w:val="0"/>
            <w:vAlign w:val="center"/>
          </w:tcPr>
          <w:p>
            <w:pPr>
              <w:autoSpaceDN w:val="0"/>
              <w:spacing w:line="400" w:lineRule="exact"/>
              <w:ind w:firstLine="28"/>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备注</w:t>
            </w:r>
          </w:p>
        </w:tc>
      </w:tr>
      <w:tr>
        <w:tblPrEx>
          <w:tblCellMar>
            <w:top w:w="0" w:type="dxa"/>
            <w:left w:w="108" w:type="dxa"/>
            <w:bottom w:w="0" w:type="dxa"/>
            <w:right w:w="108" w:type="dxa"/>
          </w:tblCellMar>
        </w:tblPrEx>
        <w:trPr>
          <w:trHeight w:val="350" w:hRule="atLeast"/>
          <w:jc w:val="center"/>
        </w:trPr>
        <w:tc>
          <w:tcPr>
            <w:tcW w:w="81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071" w:type="dxa"/>
            <w:tcBorders>
              <w:top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报价（30%）</w:t>
            </w:r>
          </w:p>
        </w:tc>
        <w:tc>
          <w:tcPr>
            <w:tcW w:w="815" w:type="dxa"/>
            <w:tcBorders>
              <w:top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rPr>
              <w:t>30</w:t>
            </w:r>
            <w:r>
              <w:rPr>
                <w:rFonts w:hint="eastAsia" w:ascii="宋体" w:hAnsi="宋体" w:eastAsia="宋体" w:cs="宋体"/>
                <w:color w:val="auto"/>
                <w:sz w:val="24"/>
                <w:szCs w:val="24"/>
                <w:highlight w:val="none"/>
              </w:rPr>
              <w:t>分</w:t>
            </w:r>
          </w:p>
        </w:tc>
        <w:tc>
          <w:tcPr>
            <w:tcW w:w="5231" w:type="dxa"/>
            <w:tcBorders>
              <w:top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1.通过资格性审查和符合性审查的投标人，且投标报价最低的投标报价为评审基准价，其价格分为满分。其他投标人的价格分统一按照下列公式计算：报价得分=(评审基准价／投标报价)×</w:t>
            </w:r>
            <w:r>
              <w:rPr>
                <w:rFonts w:hint="eastAsia" w:ascii="宋体" w:hAnsi="宋体" w:eastAsia="宋体" w:cs="宋体"/>
                <w:color w:val="auto"/>
                <w:sz w:val="24"/>
                <w:szCs w:val="24"/>
                <w:highlight w:val="none"/>
                <w:lang w:val="en-US"/>
              </w:rPr>
              <w:t>30</w:t>
            </w:r>
            <w:r>
              <w:rPr>
                <w:rFonts w:hint="eastAsia" w:ascii="宋体" w:hAnsi="宋体" w:eastAsia="宋体" w:cs="宋体"/>
                <w:color w:val="auto"/>
                <w:sz w:val="24"/>
                <w:szCs w:val="24"/>
                <w:highlight w:val="none"/>
              </w:rPr>
              <w:t>×100%。</w:t>
            </w:r>
          </w:p>
          <w:p>
            <w:pPr>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2.投标报价高于本项目单价最高限价的为无效报价。</w:t>
            </w:r>
          </w:p>
          <w:p>
            <w:pPr>
              <w:pStyle w:val="2"/>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3.计算结果四舍五入到小数点后2位。</w:t>
            </w:r>
          </w:p>
        </w:tc>
        <w:tc>
          <w:tcPr>
            <w:tcW w:w="1002" w:type="dxa"/>
            <w:tcBorders>
              <w:top w:val="single" w:color="000000" w:sz="4" w:space="0"/>
              <w:bottom w:val="single" w:color="000000" w:sz="4" w:space="0"/>
              <w:right w:val="single" w:color="000000" w:sz="4" w:space="0"/>
            </w:tcBorders>
            <w:noWrap w:val="0"/>
            <w:vAlign w:val="center"/>
          </w:tcPr>
          <w:p>
            <w:pPr>
              <w:autoSpaceDN w:val="0"/>
              <w:rPr>
                <w:rFonts w:hint="eastAsia" w:ascii="宋体" w:hAnsi="宋体" w:eastAsia="宋体" w:cs="宋体"/>
                <w:color w:val="auto"/>
                <w:sz w:val="24"/>
                <w:szCs w:val="24"/>
                <w:highlight w:val="none"/>
              </w:rPr>
            </w:pPr>
          </w:p>
        </w:tc>
      </w:tr>
      <w:tr>
        <w:tblPrEx>
          <w:tblCellMar>
            <w:top w:w="0" w:type="dxa"/>
            <w:left w:w="108" w:type="dxa"/>
            <w:bottom w:w="0" w:type="dxa"/>
            <w:right w:w="108" w:type="dxa"/>
          </w:tblCellMar>
        </w:tblPrEx>
        <w:trPr>
          <w:trHeight w:val="350" w:hRule="atLeast"/>
          <w:jc w:val="center"/>
        </w:trPr>
        <w:tc>
          <w:tcPr>
            <w:tcW w:w="81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w:t>
            </w:r>
          </w:p>
        </w:tc>
        <w:tc>
          <w:tcPr>
            <w:tcW w:w="1071" w:type="dxa"/>
            <w:tcBorders>
              <w:top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spacing w:line="400" w:lineRule="exact"/>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技术参数响应性得分</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20</w:t>
            </w:r>
            <w:r>
              <w:rPr>
                <w:rFonts w:hint="eastAsia" w:ascii="宋体" w:hAnsi="宋体" w:eastAsia="宋体" w:cs="宋体"/>
                <w:color w:val="auto"/>
                <w:sz w:val="24"/>
                <w:szCs w:val="24"/>
                <w:highlight w:val="none"/>
              </w:rPr>
              <w:t>%）</w:t>
            </w:r>
          </w:p>
        </w:tc>
        <w:tc>
          <w:tcPr>
            <w:tcW w:w="815" w:type="dxa"/>
            <w:tcBorders>
              <w:top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spacing w:line="400" w:lineRule="exact"/>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20分</w:t>
            </w:r>
          </w:p>
        </w:tc>
        <w:tc>
          <w:tcPr>
            <w:tcW w:w="5231" w:type="dxa"/>
            <w:tcBorders>
              <w:top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kern w:val="2"/>
                <w:sz w:val="24"/>
                <w:szCs w:val="24"/>
                <w:highlight w:val="none"/>
                <w:lang w:val="en-US" w:eastAsia="zh-CN"/>
              </w:rPr>
              <w:t>投标的产品满足技术参数及要求中非实质性要求（未加</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号）</w:t>
            </w:r>
            <w:r>
              <w:rPr>
                <w:rFonts w:hint="eastAsia" w:ascii="宋体" w:hAnsi="宋体" w:eastAsia="宋体" w:cs="宋体"/>
                <w:color w:val="auto"/>
                <w:kern w:val="2"/>
                <w:sz w:val="24"/>
                <w:szCs w:val="24"/>
                <w:highlight w:val="none"/>
                <w:lang w:val="en-US" w:eastAsia="zh-CN"/>
              </w:rPr>
              <w:t>的得20分，每有一项不满足的扣2.5分，直至20分扣完为止。</w:t>
            </w:r>
          </w:p>
        </w:tc>
        <w:tc>
          <w:tcPr>
            <w:tcW w:w="1002" w:type="dxa"/>
            <w:tcBorders>
              <w:top w:val="single" w:color="000000" w:sz="4" w:space="0"/>
              <w:bottom w:val="single" w:color="000000" w:sz="4" w:space="0"/>
              <w:right w:val="single" w:color="000000" w:sz="4" w:space="0"/>
            </w:tcBorders>
            <w:noWrap w:val="0"/>
            <w:vAlign w:val="center"/>
          </w:tcPr>
          <w:p>
            <w:pPr>
              <w:autoSpaceDN w:val="0"/>
              <w:rPr>
                <w:rFonts w:hint="eastAsia" w:ascii="宋体" w:hAnsi="宋体" w:eastAsia="宋体" w:cs="宋体"/>
                <w:color w:val="auto"/>
                <w:sz w:val="24"/>
                <w:szCs w:val="24"/>
                <w:highlight w:val="none"/>
              </w:rPr>
            </w:pPr>
          </w:p>
        </w:tc>
      </w:tr>
      <w:tr>
        <w:tblPrEx>
          <w:tblCellMar>
            <w:top w:w="0" w:type="dxa"/>
            <w:left w:w="108" w:type="dxa"/>
            <w:bottom w:w="0" w:type="dxa"/>
            <w:right w:w="108" w:type="dxa"/>
          </w:tblCellMar>
        </w:tblPrEx>
        <w:trPr>
          <w:trHeight w:val="350" w:hRule="atLeast"/>
          <w:jc w:val="center"/>
        </w:trPr>
        <w:tc>
          <w:tcPr>
            <w:tcW w:w="81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3</w:t>
            </w:r>
          </w:p>
        </w:tc>
        <w:tc>
          <w:tcPr>
            <w:tcW w:w="1071" w:type="dxa"/>
            <w:tcBorders>
              <w:top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业绩（</w:t>
            </w:r>
            <w:r>
              <w:rPr>
                <w:rFonts w:hint="eastAsia" w:ascii="宋体" w:hAnsi="宋体" w:eastAsia="宋体" w:cs="宋体"/>
                <w:color w:val="auto"/>
                <w:sz w:val="24"/>
                <w:szCs w:val="24"/>
                <w:highlight w:val="none"/>
                <w:lang w:val="en-US" w:eastAsia="zh-CN"/>
              </w:rPr>
              <w:t>10</w:t>
            </w:r>
            <w:r>
              <w:rPr>
                <w:rFonts w:hint="eastAsia" w:ascii="宋体" w:hAnsi="宋体" w:eastAsia="宋体" w:cs="宋体"/>
                <w:color w:val="auto"/>
                <w:sz w:val="24"/>
                <w:szCs w:val="24"/>
                <w:highlight w:val="none"/>
              </w:rPr>
              <w:t>%）</w:t>
            </w:r>
          </w:p>
        </w:tc>
        <w:tc>
          <w:tcPr>
            <w:tcW w:w="815" w:type="dxa"/>
            <w:tcBorders>
              <w:top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10</w:t>
            </w:r>
            <w:r>
              <w:rPr>
                <w:rFonts w:hint="eastAsia" w:ascii="宋体" w:hAnsi="宋体" w:eastAsia="宋体" w:cs="宋体"/>
                <w:color w:val="auto"/>
                <w:sz w:val="24"/>
                <w:szCs w:val="24"/>
                <w:highlight w:val="none"/>
              </w:rPr>
              <w:t>分</w:t>
            </w:r>
          </w:p>
        </w:tc>
        <w:tc>
          <w:tcPr>
            <w:tcW w:w="5231" w:type="dxa"/>
            <w:tcBorders>
              <w:top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投标人</w:t>
            </w:r>
            <w:r>
              <w:rPr>
                <w:rFonts w:hint="eastAsia" w:ascii="宋体" w:hAnsi="宋体" w:eastAsia="宋体" w:cs="宋体"/>
                <w:color w:val="auto"/>
                <w:sz w:val="24"/>
                <w:szCs w:val="24"/>
                <w:highlight w:val="none"/>
              </w:rPr>
              <w:t>202</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年1月1日（含1日）以来每有一个服装供应业绩的得</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分，本项最多得</w:t>
            </w:r>
            <w:r>
              <w:rPr>
                <w:rFonts w:hint="eastAsia" w:ascii="宋体" w:hAnsi="宋体" w:eastAsia="宋体" w:cs="宋体"/>
                <w:color w:val="auto"/>
                <w:sz w:val="24"/>
                <w:szCs w:val="24"/>
                <w:highlight w:val="none"/>
                <w:lang w:val="en-US" w:eastAsia="zh-CN"/>
              </w:rPr>
              <w:t>10</w:t>
            </w:r>
            <w:r>
              <w:rPr>
                <w:rFonts w:hint="eastAsia" w:ascii="宋体" w:hAnsi="宋体" w:eastAsia="宋体" w:cs="宋体"/>
                <w:color w:val="auto"/>
                <w:sz w:val="24"/>
                <w:szCs w:val="24"/>
                <w:highlight w:val="none"/>
              </w:rPr>
              <w:t>分。</w:t>
            </w:r>
          </w:p>
          <w:p>
            <w:pPr>
              <w:spacing w:line="400" w:lineRule="exact"/>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说明：提供完整版合同</w:t>
            </w:r>
            <w:r>
              <w:rPr>
                <w:rFonts w:hint="eastAsia" w:ascii="宋体" w:hAnsi="宋体" w:eastAsia="宋体" w:cs="宋体"/>
                <w:color w:val="auto"/>
                <w:sz w:val="24"/>
                <w:szCs w:val="24"/>
                <w:highlight w:val="none"/>
                <w:lang w:val="en-US" w:eastAsia="zh-CN"/>
              </w:rPr>
              <w:t>或</w:t>
            </w:r>
            <w:r>
              <w:rPr>
                <w:rFonts w:hint="eastAsia" w:ascii="宋体" w:hAnsi="宋体" w:eastAsia="宋体" w:cs="宋体"/>
                <w:color w:val="auto"/>
                <w:sz w:val="24"/>
                <w:szCs w:val="24"/>
                <w:highlight w:val="none"/>
              </w:rPr>
              <w:t>中标（成交）通知书复印件</w:t>
            </w:r>
            <w:r>
              <w:rPr>
                <w:rFonts w:hint="eastAsia" w:ascii="宋体" w:hAnsi="宋体" w:eastAsia="宋体" w:cs="宋体"/>
                <w:color w:val="auto"/>
                <w:sz w:val="24"/>
                <w:szCs w:val="24"/>
                <w:highlight w:val="none"/>
                <w:lang w:val="en-US" w:eastAsia="zh-CN"/>
              </w:rPr>
              <w:t>并加盖投标人公章</w:t>
            </w:r>
            <w:r>
              <w:rPr>
                <w:rFonts w:hint="eastAsia" w:ascii="宋体" w:hAnsi="宋体" w:eastAsia="宋体" w:cs="宋体"/>
                <w:color w:val="auto"/>
                <w:sz w:val="24"/>
                <w:szCs w:val="24"/>
                <w:highlight w:val="none"/>
              </w:rPr>
              <w:t>。</w:t>
            </w:r>
          </w:p>
        </w:tc>
        <w:tc>
          <w:tcPr>
            <w:tcW w:w="1002" w:type="dxa"/>
            <w:tcBorders>
              <w:top w:val="single" w:color="000000" w:sz="4" w:space="0"/>
              <w:bottom w:val="single" w:color="000000" w:sz="4" w:space="0"/>
              <w:right w:val="single" w:color="000000" w:sz="4" w:space="0"/>
            </w:tcBorders>
            <w:noWrap w:val="0"/>
            <w:vAlign w:val="center"/>
          </w:tcPr>
          <w:p>
            <w:pPr>
              <w:autoSpaceDN w:val="0"/>
              <w:rPr>
                <w:rFonts w:hint="eastAsia" w:ascii="宋体" w:hAnsi="宋体" w:eastAsia="宋体" w:cs="宋体"/>
                <w:color w:val="auto"/>
                <w:sz w:val="24"/>
                <w:szCs w:val="24"/>
                <w:highlight w:val="none"/>
              </w:rPr>
            </w:pPr>
          </w:p>
        </w:tc>
      </w:tr>
      <w:tr>
        <w:tblPrEx>
          <w:tblCellMar>
            <w:top w:w="0" w:type="dxa"/>
            <w:left w:w="108" w:type="dxa"/>
            <w:bottom w:w="0" w:type="dxa"/>
            <w:right w:w="108" w:type="dxa"/>
          </w:tblCellMar>
        </w:tblPrEx>
        <w:trPr>
          <w:trHeight w:val="350" w:hRule="atLeast"/>
          <w:jc w:val="center"/>
        </w:trPr>
        <w:tc>
          <w:tcPr>
            <w:tcW w:w="81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4</w:t>
            </w:r>
          </w:p>
        </w:tc>
        <w:tc>
          <w:tcPr>
            <w:tcW w:w="1071" w:type="dxa"/>
            <w:tcBorders>
              <w:top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方案（</w:t>
            </w:r>
            <w:r>
              <w:rPr>
                <w:rFonts w:hint="eastAsia" w:ascii="宋体" w:hAnsi="宋体" w:eastAsia="宋体" w:cs="宋体"/>
                <w:color w:val="auto"/>
                <w:sz w:val="24"/>
                <w:szCs w:val="24"/>
                <w:highlight w:val="none"/>
                <w:lang w:val="en-US" w:eastAsia="zh-CN"/>
              </w:rPr>
              <w:t>24</w:t>
            </w:r>
            <w:r>
              <w:rPr>
                <w:rFonts w:hint="eastAsia" w:ascii="宋体" w:hAnsi="宋体" w:eastAsia="宋体" w:cs="宋体"/>
                <w:color w:val="auto"/>
                <w:sz w:val="24"/>
                <w:szCs w:val="24"/>
                <w:highlight w:val="none"/>
              </w:rPr>
              <w:t>%）</w:t>
            </w:r>
          </w:p>
        </w:tc>
        <w:tc>
          <w:tcPr>
            <w:tcW w:w="815" w:type="dxa"/>
            <w:tcBorders>
              <w:top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24</w:t>
            </w:r>
            <w:r>
              <w:rPr>
                <w:rFonts w:hint="eastAsia" w:ascii="宋体" w:hAnsi="宋体" w:eastAsia="宋体" w:cs="宋体"/>
                <w:color w:val="auto"/>
                <w:sz w:val="24"/>
                <w:szCs w:val="24"/>
                <w:highlight w:val="none"/>
              </w:rPr>
              <w:t>分</w:t>
            </w:r>
          </w:p>
        </w:tc>
        <w:tc>
          <w:tcPr>
            <w:tcW w:w="5231" w:type="dxa"/>
            <w:tcBorders>
              <w:top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1.根据投标人制定的项目实施方案进行综合评审，方案包含备货、配送、质量保证措施、应急措施的得</w:t>
            </w:r>
            <w:r>
              <w:rPr>
                <w:rFonts w:hint="eastAsia" w:ascii="宋体" w:hAnsi="宋体" w:eastAsia="宋体" w:cs="宋体"/>
                <w:color w:val="auto"/>
                <w:sz w:val="24"/>
                <w:szCs w:val="24"/>
                <w:highlight w:val="none"/>
                <w:lang w:val="en-US" w:eastAsia="zh-CN"/>
              </w:rPr>
              <w:t>12</w:t>
            </w:r>
            <w:r>
              <w:rPr>
                <w:rFonts w:hint="eastAsia" w:ascii="宋体" w:hAnsi="宋体" w:eastAsia="宋体" w:cs="宋体"/>
                <w:color w:val="auto"/>
                <w:sz w:val="24"/>
                <w:szCs w:val="24"/>
                <w:highlight w:val="none"/>
              </w:rPr>
              <w:t>分。在此基础上，</w:t>
            </w:r>
          </w:p>
          <w:p>
            <w:pPr>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每缺少一项内容或每有一项内容存在缺陷的扣</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分，</w:t>
            </w:r>
            <w:r>
              <w:rPr>
                <w:rFonts w:hint="eastAsia" w:ascii="宋体" w:hAnsi="宋体" w:eastAsia="宋体" w:cs="宋体"/>
                <w:color w:val="auto"/>
                <w:sz w:val="24"/>
                <w:szCs w:val="24"/>
                <w:highlight w:val="none"/>
                <w:lang w:val="en-US" w:eastAsia="zh-CN"/>
              </w:rPr>
              <w:t>12</w:t>
            </w:r>
            <w:r>
              <w:rPr>
                <w:rFonts w:hint="eastAsia" w:ascii="宋体" w:hAnsi="宋体" w:eastAsia="宋体" w:cs="宋体"/>
                <w:color w:val="auto"/>
                <w:sz w:val="24"/>
                <w:szCs w:val="24"/>
                <w:highlight w:val="none"/>
              </w:rPr>
              <w:t>分扣完为止。</w:t>
            </w:r>
          </w:p>
          <w:p>
            <w:pPr>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2.根据投标人制定的售后服务方案进行综合评审，方案包含服务人员配置、响应时间、响应方式、</w:t>
            </w:r>
            <w:r>
              <w:rPr>
                <w:rFonts w:hint="eastAsia" w:ascii="宋体" w:hAnsi="宋体" w:eastAsia="宋体" w:cs="宋体"/>
                <w:color w:val="auto"/>
                <w:sz w:val="24"/>
                <w:szCs w:val="24"/>
                <w:highlight w:val="none"/>
                <w:lang w:val="en-US" w:eastAsia="zh-CN"/>
              </w:rPr>
              <w:t>售后服务期</w:t>
            </w:r>
            <w:r>
              <w:rPr>
                <w:rFonts w:hint="eastAsia" w:ascii="宋体" w:hAnsi="宋体" w:eastAsia="宋体" w:cs="宋体"/>
                <w:color w:val="auto"/>
                <w:sz w:val="24"/>
                <w:szCs w:val="24"/>
                <w:highlight w:val="none"/>
              </w:rPr>
              <w:t>内的维护措施的得</w:t>
            </w:r>
            <w:r>
              <w:rPr>
                <w:rFonts w:hint="eastAsia" w:ascii="宋体" w:hAnsi="宋体" w:eastAsia="宋体" w:cs="宋体"/>
                <w:color w:val="auto"/>
                <w:sz w:val="24"/>
                <w:szCs w:val="24"/>
                <w:highlight w:val="none"/>
                <w:lang w:val="en-US" w:eastAsia="zh-CN"/>
              </w:rPr>
              <w:t>12</w:t>
            </w:r>
            <w:r>
              <w:rPr>
                <w:rFonts w:hint="eastAsia" w:ascii="宋体" w:hAnsi="宋体" w:eastAsia="宋体" w:cs="宋体"/>
                <w:color w:val="auto"/>
                <w:sz w:val="24"/>
                <w:szCs w:val="24"/>
                <w:highlight w:val="none"/>
              </w:rPr>
              <w:t>分。在此基础上，每缺少一项内容或每有一项内容存在缺陷的扣</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 xml:space="preserve">分， </w:t>
            </w:r>
            <w:r>
              <w:rPr>
                <w:rFonts w:hint="eastAsia" w:ascii="宋体" w:hAnsi="宋体" w:eastAsia="宋体" w:cs="宋体"/>
                <w:color w:val="auto"/>
                <w:sz w:val="24"/>
                <w:szCs w:val="24"/>
                <w:highlight w:val="none"/>
                <w:lang w:val="en-US" w:eastAsia="zh-CN"/>
              </w:rPr>
              <w:t>12</w:t>
            </w:r>
            <w:r>
              <w:rPr>
                <w:rFonts w:hint="eastAsia" w:ascii="宋体" w:hAnsi="宋体" w:eastAsia="宋体" w:cs="宋体"/>
                <w:color w:val="auto"/>
                <w:sz w:val="24"/>
                <w:szCs w:val="24"/>
                <w:highlight w:val="none"/>
              </w:rPr>
              <w:t>分扣完为止。</w:t>
            </w:r>
          </w:p>
          <w:p>
            <w:pPr>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说明：内容存在缺陷是指内容与项目无关或与项目不匹配或项目名称、涉及的规范、技术服务标准要求与本项目不一致等情形</w:t>
            </w:r>
            <w:r>
              <w:rPr>
                <w:rFonts w:hint="eastAsia" w:ascii="宋体" w:hAnsi="宋体" w:eastAsia="宋体" w:cs="宋体"/>
                <w:color w:val="auto"/>
                <w:sz w:val="24"/>
                <w:szCs w:val="24"/>
                <w:highlight w:val="none"/>
                <w:lang w:eastAsia="zh-CN"/>
              </w:rPr>
              <w:t>。</w:t>
            </w:r>
          </w:p>
        </w:tc>
        <w:tc>
          <w:tcPr>
            <w:tcW w:w="1002" w:type="dxa"/>
            <w:tcBorders>
              <w:top w:val="single" w:color="000000" w:sz="4" w:space="0"/>
              <w:bottom w:val="single" w:color="000000" w:sz="4" w:space="0"/>
              <w:right w:val="single" w:color="000000" w:sz="4" w:space="0"/>
            </w:tcBorders>
            <w:noWrap w:val="0"/>
            <w:vAlign w:val="center"/>
          </w:tcPr>
          <w:p>
            <w:pPr>
              <w:autoSpaceDN w:val="0"/>
              <w:rPr>
                <w:rFonts w:hint="eastAsia" w:ascii="宋体" w:hAnsi="宋体" w:eastAsia="宋体" w:cs="宋体"/>
                <w:color w:val="auto"/>
                <w:sz w:val="24"/>
                <w:szCs w:val="24"/>
                <w:highlight w:val="none"/>
              </w:rPr>
            </w:pPr>
          </w:p>
        </w:tc>
      </w:tr>
      <w:tr>
        <w:tblPrEx>
          <w:tblCellMar>
            <w:top w:w="0" w:type="dxa"/>
            <w:left w:w="108" w:type="dxa"/>
            <w:bottom w:w="0" w:type="dxa"/>
            <w:right w:w="108" w:type="dxa"/>
          </w:tblCellMar>
        </w:tblPrEx>
        <w:trPr>
          <w:trHeight w:val="1228" w:hRule="atLeast"/>
          <w:jc w:val="center"/>
        </w:trPr>
        <w:tc>
          <w:tcPr>
            <w:tcW w:w="81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5</w:t>
            </w:r>
          </w:p>
        </w:tc>
        <w:tc>
          <w:tcPr>
            <w:tcW w:w="1071" w:type="dxa"/>
            <w:tcBorders>
              <w:top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样品（</w:t>
            </w:r>
            <w:r>
              <w:rPr>
                <w:rFonts w:hint="eastAsia" w:ascii="宋体" w:hAnsi="宋体" w:eastAsia="宋体" w:cs="宋体"/>
                <w:color w:val="auto"/>
                <w:sz w:val="24"/>
                <w:szCs w:val="24"/>
                <w:highlight w:val="none"/>
                <w:lang w:val="en-US" w:eastAsia="zh-CN"/>
              </w:rPr>
              <w:t>16</w:t>
            </w:r>
            <w:r>
              <w:rPr>
                <w:rFonts w:hint="eastAsia" w:ascii="宋体" w:hAnsi="宋体" w:eastAsia="宋体" w:cs="宋体"/>
                <w:color w:val="auto"/>
                <w:sz w:val="24"/>
                <w:szCs w:val="24"/>
                <w:highlight w:val="none"/>
              </w:rPr>
              <w:t>%）</w:t>
            </w:r>
          </w:p>
        </w:tc>
        <w:tc>
          <w:tcPr>
            <w:tcW w:w="815" w:type="dxa"/>
            <w:tcBorders>
              <w:top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16</w:t>
            </w:r>
            <w:r>
              <w:rPr>
                <w:rFonts w:hint="eastAsia" w:ascii="宋体" w:hAnsi="宋体" w:eastAsia="宋体" w:cs="宋体"/>
                <w:color w:val="auto"/>
                <w:sz w:val="24"/>
                <w:szCs w:val="24"/>
                <w:highlight w:val="none"/>
              </w:rPr>
              <w:t>分</w:t>
            </w:r>
          </w:p>
        </w:tc>
        <w:tc>
          <w:tcPr>
            <w:tcW w:w="5231" w:type="dxa"/>
            <w:tcBorders>
              <w:top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djustRightInd w:val="0"/>
              <w:snapToGrid w:val="0"/>
              <w:spacing w:line="400" w:lineRule="exact"/>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kern w:val="2"/>
                <w:sz w:val="24"/>
                <w:szCs w:val="24"/>
                <w:highlight w:val="none"/>
                <w:lang w:val="en-US" w:eastAsia="zh-CN"/>
              </w:rPr>
              <w:t>投标人应提供样品一套</w:t>
            </w:r>
            <w:r>
              <w:rPr>
                <w:rFonts w:hint="eastAsia" w:ascii="宋体" w:hAnsi="宋体" w:eastAsia="宋体" w:cs="宋体"/>
                <w:color w:val="auto"/>
                <w:kern w:val="2"/>
                <w:sz w:val="24"/>
                <w:szCs w:val="24"/>
                <w:highlight w:val="none"/>
              </w:rPr>
              <w:t>实物样品</w:t>
            </w:r>
            <w:r>
              <w:rPr>
                <w:rFonts w:hint="eastAsia" w:ascii="宋体" w:hAnsi="宋体" w:eastAsia="宋体" w:cs="宋体"/>
                <w:color w:val="auto"/>
                <w:kern w:val="2"/>
                <w:sz w:val="24"/>
                <w:szCs w:val="24"/>
                <w:highlight w:val="none"/>
                <w:lang w:eastAsia="zh-CN"/>
              </w:rPr>
              <w:t>，</w:t>
            </w:r>
            <w:r>
              <w:rPr>
                <w:rFonts w:hint="eastAsia" w:ascii="宋体" w:hAnsi="宋体" w:eastAsia="宋体" w:cs="宋体"/>
                <w:color w:val="auto"/>
                <w:kern w:val="2"/>
                <w:sz w:val="24"/>
                <w:szCs w:val="24"/>
                <w:highlight w:val="none"/>
                <w:lang w:val="en-US" w:eastAsia="zh-CN"/>
              </w:rPr>
              <w:t>包括①</w:t>
            </w:r>
            <w:r>
              <w:rPr>
                <w:rFonts w:hint="eastAsia" w:ascii="宋体" w:hAnsi="宋体" w:eastAsia="宋体" w:cs="宋体"/>
                <w:color w:val="auto"/>
                <w:sz w:val="24"/>
                <w:szCs w:val="24"/>
                <w:highlight w:val="none"/>
              </w:rPr>
              <w:t>迷彩帽1顶、长袖迷彩军训服1套（</w:t>
            </w:r>
            <w:r>
              <w:rPr>
                <w:rFonts w:hint="eastAsia" w:ascii="宋体" w:hAnsi="宋体" w:eastAsia="宋体" w:cs="宋体"/>
                <w:color w:val="auto"/>
                <w:sz w:val="24"/>
                <w:szCs w:val="24"/>
                <w:highlight w:val="none"/>
                <w:lang w:val="en-US" w:eastAsia="zh-CN"/>
              </w:rPr>
              <w:t>②</w:t>
            </w:r>
            <w:r>
              <w:rPr>
                <w:rFonts w:hint="eastAsia" w:ascii="宋体" w:hAnsi="宋体" w:eastAsia="宋体" w:cs="宋体"/>
                <w:color w:val="auto"/>
                <w:sz w:val="24"/>
                <w:szCs w:val="24"/>
                <w:highlight w:val="none"/>
              </w:rPr>
              <w:t>含上衣1件、</w:t>
            </w:r>
            <w:r>
              <w:rPr>
                <w:rFonts w:hint="eastAsia" w:ascii="宋体" w:hAnsi="宋体" w:eastAsia="宋体" w:cs="宋体"/>
                <w:color w:val="auto"/>
                <w:sz w:val="24"/>
                <w:szCs w:val="24"/>
                <w:highlight w:val="none"/>
                <w:lang w:val="en-US" w:eastAsia="zh-CN"/>
              </w:rPr>
              <w:t>③</w:t>
            </w:r>
            <w:r>
              <w:rPr>
                <w:rFonts w:hint="eastAsia" w:ascii="宋体" w:hAnsi="宋体" w:eastAsia="宋体" w:cs="宋体"/>
                <w:color w:val="auto"/>
                <w:sz w:val="24"/>
                <w:szCs w:val="24"/>
                <w:highlight w:val="none"/>
              </w:rPr>
              <w:t>下装1条）、</w:t>
            </w:r>
            <w:r>
              <w:rPr>
                <w:rFonts w:hint="eastAsia" w:ascii="宋体" w:hAnsi="宋体" w:eastAsia="宋体" w:cs="宋体"/>
                <w:color w:val="auto"/>
                <w:sz w:val="24"/>
                <w:szCs w:val="24"/>
                <w:highlight w:val="none"/>
                <w:lang w:val="en-US" w:eastAsia="zh-CN"/>
              </w:rPr>
              <w:t>④</w:t>
            </w:r>
            <w:r>
              <w:rPr>
                <w:rFonts w:hint="eastAsia" w:ascii="宋体" w:hAnsi="宋体" w:eastAsia="宋体" w:cs="宋体"/>
                <w:color w:val="auto"/>
                <w:sz w:val="24"/>
                <w:szCs w:val="24"/>
                <w:highlight w:val="none"/>
              </w:rPr>
              <w:t>迷彩T恤1件、</w:t>
            </w:r>
            <w:r>
              <w:rPr>
                <w:rFonts w:hint="eastAsia" w:ascii="宋体" w:hAnsi="宋体" w:eastAsia="宋体" w:cs="宋体"/>
                <w:color w:val="auto"/>
                <w:sz w:val="24"/>
                <w:szCs w:val="24"/>
                <w:highlight w:val="none"/>
                <w:lang w:val="en-US" w:eastAsia="zh-CN"/>
              </w:rPr>
              <w:t>⑤</w:t>
            </w:r>
            <w:r>
              <w:rPr>
                <w:rFonts w:hint="eastAsia" w:ascii="宋体" w:hAnsi="宋体" w:eastAsia="宋体" w:cs="宋体"/>
                <w:color w:val="auto"/>
                <w:sz w:val="24"/>
                <w:szCs w:val="24"/>
                <w:highlight w:val="none"/>
              </w:rPr>
              <w:t>编织外腰带1条、</w:t>
            </w:r>
            <w:r>
              <w:rPr>
                <w:rFonts w:hint="eastAsia" w:ascii="宋体" w:hAnsi="宋体" w:eastAsia="宋体" w:cs="宋体"/>
                <w:color w:val="auto"/>
                <w:sz w:val="24"/>
                <w:szCs w:val="24"/>
                <w:highlight w:val="none"/>
                <w:lang w:val="en-US" w:eastAsia="zh-CN"/>
              </w:rPr>
              <w:t>⑥</w:t>
            </w:r>
            <w:r>
              <w:rPr>
                <w:rFonts w:hint="eastAsia" w:ascii="宋体" w:hAnsi="宋体" w:eastAsia="宋体" w:cs="宋体"/>
                <w:color w:val="auto"/>
                <w:sz w:val="24"/>
                <w:szCs w:val="24"/>
                <w:highlight w:val="none"/>
              </w:rPr>
              <w:t>迷彩胶鞋1双、</w:t>
            </w:r>
            <w:r>
              <w:rPr>
                <w:rFonts w:hint="eastAsia" w:ascii="宋体" w:hAnsi="宋体" w:eastAsia="宋体" w:cs="宋体"/>
                <w:color w:val="auto"/>
                <w:sz w:val="24"/>
                <w:szCs w:val="24"/>
                <w:highlight w:val="none"/>
                <w:lang w:val="en-US" w:eastAsia="zh-CN"/>
              </w:rPr>
              <w:t>⑦</w:t>
            </w:r>
            <w:r>
              <w:rPr>
                <w:rFonts w:hint="eastAsia" w:ascii="宋体" w:hAnsi="宋体" w:eastAsia="宋体" w:cs="宋体"/>
                <w:color w:val="auto"/>
                <w:sz w:val="24"/>
                <w:szCs w:val="24"/>
                <w:highlight w:val="none"/>
              </w:rPr>
              <w:t>皮内腰带1条、</w:t>
            </w:r>
            <w:r>
              <w:rPr>
                <w:rFonts w:hint="eastAsia" w:ascii="宋体" w:hAnsi="宋体" w:eastAsia="宋体" w:cs="宋体"/>
                <w:color w:val="auto"/>
                <w:sz w:val="24"/>
                <w:szCs w:val="24"/>
                <w:highlight w:val="none"/>
                <w:lang w:val="en-US" w:eastAsia="zh-CN"/>
              </w:rPr>
              <w:t>⑧</w:t>
            </w:r>
            <w:r>
              <w:rPr>
                <w:rFonts w:hint="eastAsia" w:ascii="宋体" w:hAnsi="宋体" w:eastAsia="宋体" w:cs="宋体"/>
                <w:color w:val="auto"/>
                <w:sz w:val="24"/>
                <w:szCs w:val="24"/>
                <w:highlight w:val="none"/>
              </w:rPr>
              <w:t>肩章1副。</w:t>
            </w:r>
          </w:p>
          <w:p>
            <w:pPr>
              <w:adjustRightInd w:val="0"/>
              <w:snapToGrid w:val="0"/>
              <w:spacing w:line="400" w:lineRule="exact"/>
              <w:ind w:firstLine="240" w:firstLineChars="100"/>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val="en-US" w:eastAsia="zh-CN"/>
              </w:rPr>
              <w:t>以上实物样品如每一个样品未提供或每有一个样品存在手感粗糙或走线不均匀、色泽不均匀、</w:t>
            </w:r>
            <w:r>
              <w:rPr>
                <w:rFonts w:hint="eastAsia" w:ascii="宋体" w:hAnsi="宋体" w:eastAsia="宋体" w:cs="宋体"/>
                <w:color w:val="auto"/>
                <w:kern w:val="2"/>
                <w:sz w:val="24"/>
                <w:szCs w:val="24"/>
                <w:highlight w:val="none"/>
              </w:rPr>
              <w:t>厚薄</w:t>
            </w:r>
            <w:r>
              <w:rPr>
                <w:rFonts w:hint="eastAsia" w:ascii="宋体" w:hAnsi="宋体" w:eastAsia="宋体" w:cs="宋体"/>
                <w:color w:val="auto"/>
                <w:kern w:val="2"/>
                <w:sz w:val="24"/>
                <w:szCs w:val="24"/>
                <w:highlight w:val="none"/>
                <w:lang w:val="en-US" w:eastAsia="zh-CN"/>
              </w:rPr>
              <w:t>不</w:t>
            </w:r>
            <w:r>
              <w:rPr>
                <w:rFonts w:hint="eastAsia" w:ascii="宋体" w:hAnsi="宋体" w:eastAsia="宋体" w:cs="宋体"/>
                <w:color w:val="auto"/>
                <w:kern w:val="2"/>
                <w:sz w:val="24"/>
                <w:szCs w:val="24"/>
                <w:highlight w:val="none"/>
              </w:rPr>
              <w:t>均匀</w:t>
            </w:r>
            <w:r>
              <w:rPr>
                <w:rFonts w:hint="eastAsia" w:ascii="宋体" w:hAnsi="宋体" w:eastAsia="宋体" w:cs="宋体"/>
                <w:color w:val="auto"/>
                <w:kern w:val="2"/>
                <w:sz w:val="24"/>
                <w:szCs w:val="24"/>
                <w:highlight w:val="none"/>
                <w:lang w:eastAsia="zh-CN"/>
              </w:rPr>
              <w:t>、</w:t>
            </w:r>
            <w:r>
              <w:rPr>
                <w:rFonts w:hint="eastAsia" w:ascii="宋体" w:hAnsi="宋体" w:eastAsia="宋体" w:cs="宋体"/>
                <w:color w:val="auto"/>
                <w:kern w:val="2"/>
                <w:sz w:val="24"/>
                <w:szCs w:val="24"/>
                <w:highlight w:val="none"/>
                <w:lang w:val="en-US" w:eastAsia="zh-CN"/>
              </w:rPr>
              <w:t>有明显异味、有材料或工艺上的瑕疵，扣2分，</w:t>
            </w:r>
            <w:r>
              <w:rPr>
                <w:rFonts w:hint="eastAsia" w:ascii="宋体" w:hAnsi="宋体" w:eastAsia="宋体" w:cs="宋体"/>
                <w:color w:val="auto"/>
                <w:kern w:val="2"/>
                <w:sz w:val="24"/>
                <w:szCs w:val="24"/>
                <w:highlight w:val="none"/>
              </w:rPr>
              <w:t>扣完为止</w:t>
            </w:r>
            <w:r>
              <w:rPr>
                <w:rFonts w:hint="eastAsia" w:ascii="宋体" w:hAnsi="宋体" w:eastAsia="宋体" w:cs="宋体"/>
                <w:color w:val="auto"/>
                <w:kern w:val="2"/>
                <w:sz w:val="24"/>
                <w:szCs w:val="24"/>
                <w:highlight w:val="none"/>
                <w:lang w:eastAsia="zh-CN"/>
              </w:rPr>
              <w:t>。</w:t>
            </w:r>
          </w:p>
          <w:p>
            <w:pPr>
              <w:adjustRightInd w:val="0"/>
              <w:snapToGrid w:val="0"/>
              <w:spacing w:line="400" w:lineRule="exact"/>
              <w:ind w:firstLine="240" w:firstLineChars="100"/>
              <w:rPr>
                <w:rFonts w:hint="eastAsia" w:ascii="宋体" w:hAnsi="宋体" w:eastAsia="宋体" w:cs="宋体"/>
                <w:color w:val="auto"/>
                <w:sz w:val="24"/>
                <w:szCs w:val="24"/>
                <w:highlight w:val="none"/>
                <w:lang w:eastAsia="zh-CN"/>
              </w:rPr>
            </w:pPr>
            <w:r>
              <w:rPr>
                <w:rFonts w:hint="eastAsia" w:ascii="宋体" w:hAnsi="宋体" w:eastAsia="宋体" w:cs="宋体"/>
                <w:color w:val="auto"/>
                <w:kern w:val="2"/>
                <w:sz w:val="24"/>
                <w:szCs w:val="24"/>
                <w:highlight w:val="none"/>
                <w:lang w:val="en-US" w:eastAsia="zh-CN"/>
              </w:rPr>
              <w:t>注：</w:t>
            </w:r>
            <w:r>
              <w:rPr>
                <w:rFonts w:hint="eastAsia" w:ascii="宋体" w:hAnsi="宋体" w:eastAsia="宋体" w:cs="宋体"/>
                <w:color w:val="auto"/>
                <w:sz w:val="24"/>
                <w:szCs w:val="24"/>
                <w:highlight w:val="none"/>
              </w:rPr>
              <w:t>1.投标人应在递交投标文件同时提交样品（军训服套装一套)。样品须在</w:t>
            </w:r>
            <w:r>
              <w:rPr>
                <w:rFonts w:hint="eastAsia" w:ascii="宋体" w:hAnsi="宋体" w:eastAsia="宋体" w:cs="宋体"/>
                <w:color w:val="auto"/>
                <w:sz w:val="24"/>
                <w:szCs w:val="24"/>
                <w:highlight w:val="none"/>
                <w:lang w:val="en-US" w:eastAsia="zh-CN"/>
              </w:rPr>
              <w:t>递交</w:t>
            </w:r>
            <w:r>
              <w:rPr>
                <w:rFonts w:hint="eastAsia" w:ascii="宋体" w:hAnsi="宋体" w:eastAsia="宋体" w:cs="宋体"/>
                <w:color w:val="auto"/>
                <w:sz w:val="24"/>
                <w:szCs w:val="24"/>
                <w:highlight w:val="none"/>
              </w:rPr>
              <w:t>投标</w:t>
            </w:r>
            <w:r>
              <w:rPr>
                <w:rFonts w:hint="eastAsia" w:ascii="宋体" w:hAnsi="宋体" w:eastAsia="宋体" w:cs="宋体"/>
                <w:color w:val="auto"/>
                <w:sz w:val="24"/>
                <w:szCs w:val="24"/>
                <w:highlight w:val="none"/>
                <w:lang w:val="en-US" w:eastAsia="zh-CN"/>
              </w:rPr>
              <w:t>文件</w:t>
            </w:r>
            <w:r>
              <w:rPr>
                <w:rFonts w:hint="eastAsia" w:ascii="宋体" w:hAnsi="宋体" w:eastAsia="宋体" w:cs="宋体"/>
                <w:color w:val="auto"/>
                <w:sz w:val="24"/>
                <w:szCs w:val="24"/>
                <w:highlight w:val="none"/>
              </w:rPr>
              <w:t>截止时间前送达，在</w:t>
            </w:r>
            <w:r>
              <w:rPr>
                <w:rFonts w:hint="eastAsia" w:ascii="宋体" w:hAnsi="宋体" w:eastAsia="宋体" w:cs="宋体"/>
                <w:color w:val="auto"/>
                <w:sz w:val="24"/>
                <w:szCs w:val="24"/>
                <w:highlight w:val="none"/>
                <w:lang w:val="en-US" w:eastAsia="zh-CN"/>
              </w:rPr>
              <w:t>递交</w:t>
            </w:r>
            <w:r>
              <w:rPr>
                <w:rFonts w:hint="eastAsia" w:ascii="宋体" w:hAnsi="宋体" w:eastAsia="宋体" w:cs="宋体"/>
                <w:color w:val="auto"/>
                <w:sz w:val="24"/>
                <w:szCs w:val="24"/>
                <w:highlight w:val="none"/>
              </w:rPr>
              <w:t>投标</w:t>
            </w:r>
            <w:r>
              <w:rPr>
                <w:rFonts w:hint="eastAsia" w:ascii="宋体" w:hAnsi="宋体" w:eastAsia="宋体" w:cs="宋体"/>
                <w:color w:val="auto"/>
                <w:sz w:val="24"/>
                <w:szCs w:val="24"/>
                <w:highlight w:val="none"/>
                <w:lang w:val="en-US" w:eastAsia="zh-CN"/>
              </w:rPr>
              <w:t>文件</w:t>
            </w:r>
            <w:r>
              <w:rPr>
                <w:rFonts w:hint="eastAsia" w:ascii="宋体" w:hAnsi="宋体" w:eastAsia="宋体" w:cs="宋体"/>
                <w:color w:val="auto"/>
                <w:sz w:val="24"/>
                <w:szCs w:val="24"/>
                <w:highlight w:val="none"/>
              </w:rPr>
              <w:t>截止时间后提交的样品，均将拒绝接收。</w:t>
            </w:r>
          </w:p>
          <w:p>
            <w:pPr>
              <w:adjustRightInd w:val="0"/>
              <w:snapToGrid w:val="0"/>
              <w:spacing w:line="400" w:lineRule="exact"/>
              <w:ind w:firstLine="240" w:firstLineChars="1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 xml:space="preserve">  2.样品均为盲样</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不封装</w:t>
            </w:r>
            <w:r>
              <w:rPr>
                <w:rFonts w:hint="eastAsia" w:ascii="宋体" w:hAnsi="宋体" w:eastAsia="宋体" w:cs="宋体"/>
                <w:color w:val="auto"/>
                <w:sz w:val="24"/>
                <w:szCs w:val="24"/>
                <w:highlight w:val="none"/>
              </w:rPr>
              <w:t>（不得具有标注投标人名称、</w:t>
            </w:r>
            <w:r>
              <w:rPr>
                <w:rFonts w:hint="eastAsia" w:ascii="宋体" w:hAnsi="宋体" w:eastAsia="宋体" w:cs="宋体"/>
                <w:color w:val="auto"/>
                <w:sz w:val="24"/>
                <w:szCs w:val="24"/>
                <w:highlight w:val="none"/>
                <w:lang w:val="en-US" w:eastAsia="zh-CN"/>
              </w:rPr>
              <w:t>产品品牌、生产厂家等的信息的</w:t>
            </w:r>
            <w:r>
              <w:rPr>
                <w:rFonts w:hint="eastAsia" w:ascii="宋体" w:hAnsi="宋体" w:eastAsia="宋体" w:cs="宋体"/>
                <w:color w:val="auto"/>
                <w:sz w:val="24"/>
                <w:szCs w:val="24"/>
                <w:highlight w:val="none"/>
              </w:rPr>
              <w:t>商标</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背标、洗标</w:t>
            </w:r>
            <w:r>
              <w:rPr>
                <w:rFonts w:hint="eastAsia" w:ascii="宋体" w:hAnsi="宋体" w:eastAsia="宋体" w:cs="宋体"/>
                <w:color w:val="auto"/>
                <w:sz w:val="24"/>
                <w:szCs w:val="24"/>
                <w:highlight w:val="none"/>
              </w:rPr>
              <w:t>等）。</w:t>
            </w:r>
            <w:r>
              <w:rPr>
                <w:rFonts w:hint="eastAsia" w:ascii="宋体" w:hAnsi="宋体" w:eastAsia="宋体" w:cs="宋体"/>
                <w:color w:val="auto"/>
                <w:sz w:val="24"/>
                <w:szCs w:val="24"/>
                <w:highlight w:val="none"/>
                <w:lang w:val="en-US" w:eastAsia="zh-CN"/>
              </w:rPr>
              <w:t>如有任意样品上有投标人或产品品牌或生产厂家信息，样品全部不得分。</w:t>
            </w:r>
          </w:p>
          <w:p>
            <w:pPr>
              <w:adjustRightInd w:val="0"/>
              <w:snapToGrid w:val="0"/>
              <w:spacing w:line="400" w:lineRule="exact"/>
              <w:ind w:firstLine="240" w:firstLineChars="1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样品的设计、生产、运输费、保管费等一切费用由投标人自行承担。 </w:t>
            </w:r>
          </w:p>
          <w:p>
            <w:pPr>
              <w:adjustRightInd w:val="0"/>
              <w:snapToGrid w:val="0"/>
              <w:spacing w:line="400" w:lineRule="exact"/>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.中标投标人样品封样留存，作为交货验收的依据。其他未中标投标人的样品在收到中标结果通知书后7个工作日内领回，逾期的将视为投标人放弃领回。代理机构有权对进行集中处置且不承担任何责任。</w:t>
            </w:r>
          </w:p>
        </w:tc>
        <w:tc>
          <w:tcPr>
            <w:tcW w:w="1002" w:type="dxa"/>
            <w:tcBorders>
              <w:top w:val="single" w:color="000000" w:sz="4" w:space="0"/>
              <w:bottom w:val="single" w:color="000000" w:sz="4" w:space="0"/>
              <w:right w:val="single" w:color="000000" w:sz="4" w:space="0"/>
            </w:tcBorders>
            <w:noWrap w:val="0"/>
            <w:vAlign w:val="center"/>
          </w:tcPr>
          <w:p>
            <w:pPr>
              <w:autoSpaceDN w:val="0"/>
              <w:rPr>
                <w:rFonts w:hint="eastAsia" w:ascii="宋体" w:hAnsi="宋体" w:eastAsia="宋体" w:cs="宋体"/>
                <w:color w:val="auto"/>
                <w:sz w:val="24"/>
                <w:szCs w:val="24"/>
                <w:highlight w:val="none"/>
              </w:rPr>
            </w:pPr>
          </w:p>
        </w:tc>
      </w:tr>
    </w:tbl>
    <w:p>
      <w:pPr>
        <w:spacing w:line="240" w:lineRule="auto"/>
        <w:ind w:firstLine="0" w:firstLineChars="0"/>
        <w:jc w:val="both"/>
        <w:rPr>
          <w:rFonts w:ascii="宋体" w:hAnsi="宋体" w:eastAsia="宋体" w:cs="宋体"/>
          <w:b/>
          <w:bCs/>
          <w:color w:val="auto"/>
          <w:spacing w:val="6"/>
          <w:sz w:val="28"/>
          <w:szCs w:val="28"/>
          <w:highlight w:val="none"/>
        </w:rPr>
      </w:pPr>
    </w:p>
    <w:bookmarkEnd w:id="185"/>
    <w:p>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评分分值四舍五入，保留小数点后 2 位。</w:t>
      </w:r>
    </w:p>
    <w:p>
      <w:pPr>
        <w:spacing w:line="240" w:lineRule="auto"/>
        <w:ind w:firstLine="482" w:firstLineChars="200"/>
        <w:outlineLvl w:val="1"/>
        <w:rPr>
          <w:rFonts w:ascii="宋体" w:hAnsi="宋体" w:eastAsia="宋体" w:cs="宋体"/>
          <w:b/>
          <w:bCs/>
          <w:color w:val="auto"/>
          <w:sz w:val="24"/>
          <w:szCs w:val="24"/>
          <w:highlight w:val="none"/>
        </w:rPr>
      </w:pPr>
      <w:bookmarkStart w:id="186" w:name="_Toc32706"/>
      <w:bookmarkStart w:id="187" w:name="_Toc21587"/>
      <w:bookmarkStart w:id="188" w:name="_Toc20800"/>
      <w:r>
        <w:rPr>
          <w:rFonts w:hint="eastAsia" w:ascii="宋体" w:hAnsi="宋体" w:eastAsia="宋体" w:cs="宋体"/>
          <w:b/>
          <w:bCs/>
          <w:color w:val="auto"/>
          <w:sz w:val="24"/>
          <w:szCs w:val="24"/>
          <w:highlight w:val="none"/>
          <w:lang w:eastAsia="zh-CN"/>
        </w:rPr>
        <w:t>四、</w:t>
      </w:r>
      <w:r>
        <w:rPr>
          <w:rFonts w:hint="eastAsia" w:ascii="宋体" w:hAnsi="宋体" w:eastAsia="宋体" w:cs="宋体"/>
          <w:b/>
          <w:bCs/>
          <w:color w:val="auto"/>
          <w:sz w:val="24"/>
          <w:szCs w:val="24"/>
          <w:highlight w:val="none"/>
        </w:rPr>
        <w:t>废 标</w:t>
      </w:r>
      <w:bookmarkEnd w:id="186"/>
      <w:bookmarkEnd w:id="187"/>
      <w:bookmarkEnd w:id="188"/>
    </w:p>
    <w:p>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4.1 本次采购活动中，出现下列情形之一的，予以废标：</w:t>
      </w:r>
    </w:p>
    <w:p>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4.1.1 符合专业条件的投标人或者对招标文件作实质响应的投标人不足三家的；</w:t>
      </w:r>
    </w:p>
    <w:p>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4.1.2 出现影响采购公正的违法、违规行为的；</w:t>
      </w:r>
    </w:p>
    <w:p>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4.1.3 投标人的报价均超过了采购预算，招标人不能支付的；</w:t>
      </w:r>
    </w:p>
    <w:p>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4.1.4 因重大变故，采购任务取消的。</w:t>
      </w:r>
    </w:p>
    <w:p>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废标后，招标代理机构应在中国招标投标公共服务平台（http://www.cebpubservice.com/）上公告，并公告废标的情形。投标人需要知晓导致废标情形的具体原因和理由的，可以通过书面形式询问招标采购单位。</w:t>
      </w:r>
    </w:p>
    <w:p>
      <w:pPr>
        <w:spacing w:line="240" w:lineRule="auto"/>
        <w:ind w:firstLine="504" w:firstLineChars="200"/>
        <w:rPr>
          <w:rFonts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4.2 对于评标过程中废标的采购项目，评标委员会应当对招标文件是否存在倾向性和歧视性、是否存在不合理条款进行论证，并出具书面论证意见。</w:t>
      </w:r>
    </w:p>
    <w:p>
      <w:pPr>
        <w:spacing w:line="240" w:lineRule="auto"/>
        <w:ind w:firstLine="482" w:firstLineChars="200"/>
        <w:outlineLvl w:val="1"/>
        <w:rPr>
          <w:rFonts w:ascii="宋体" w:hAnsi="宋体" w:eastAsia="宋体" w:cs="宋体"/>
          <w:b/>
          <w:bCs/>
          <w:color w:val="auto"/>
          <w:sz w:val="24"/>
          <w:szCs w:val="24"/>
          <w:highlight w:val="none"/>
        </w:rPr>
      </w:pPr>
      <w:bookmarkStart w:id="189" w:name="_Toc32237"/>
      <w:bookmarkStart w:id="190" w:name="_Toc31158"/>
      <w:bookmarkStart w:id="191" w:name="_Toc20868"/>
      <w:r>
        <w:rPr>
          <w:rFonts w:hint="eastAsia" w:ascii="宋体" w:hAnsi="宋体" w:eastAsia="宋体" w:cs="宋体"/>
          <w:b/>
          <w:bCs/>
          <w:color w:val="auto"/>
          <w:sz w:val="24"/>
          <w:szCs w:val="24"/>
          <w:highlight w:val="none"/>
          <w:lang w:eastAsia="zh-CN"/>
        </w:rPr>
        <w:t>五、</w:t>
      </w:r>
      <w:r>
        <w:rPr>
          <w:rFonts w:hint="eastAsia" w:ascii="宋体" w:hAnsi="宋体" w:eastAsia="宋体" w:cs="宋体"/>
          <w:b/>
          <w:bCs/>
          <w:color w:val="auto"/>
          <w:sz w:val="24"/>
          <w:szCs w:val="24"/>
          <w:highlight w:val="none"/>
        </w:rPr>
        <w:t>定标</w:t>
      </w:r>
      <w:bookmarkEnd w:id="189"/>
      <w:bookmarkEnd w:id="190"/>
      <w:bookmarkEnd w:id="191"/>
    </w:p>
    <w:p>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5.1. 定标原则：</w:t>
      </w:r>
    </w:p>
    <w:p>
      <w:pPr>
        <w:spacing w:line="240" w:lineRule="auto"/>
        <w:ind w:left="479" w:leftChars="228" w:firstLine="0" w:firstLineChars="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方式一：招标人将按评标委员会推荐的中标候选人名单，按顺序确定中标人。方式二：招标人授权评标委员会直接确定中标人。</w:t>
      </w:r>
    </w:p>
    <w:p>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定标原则：本项目采用</w:t>
      </w:r>
      <w:r>
        <w:rPr>
          <w:rFonts w:hint="eastAsia" w:ascii="宋体" w:hAnsi="宋体" w:eastAsia="宋体" w:cs="宋体"/>
          <w:b/>
          <w:bCs/>
          <w:color w:val="auto"/>
          <w:spacing w:val="6"/>
          <w:sz w:val="24"/>
          <w:szCs w:val="24"/>
          <w:highlight w:val="none"/>
          <w:u w:val="single"/>
        </w:rPr>
        <w:t>方式一</w:t>
      </w:r>
      <w:r>
        <w:rPr>
          <w:rFonts w:hint="eastAsia" w:ascii="宋体" w:hAnsi="宋体" w:eastAsia="宋体" w:cs="宋体"/>
          <w:color w:val="auto"/>
          <w:spacing w:val="6"/>
          <w:sz w:val="24"/>
          <w:szCs w:val="24"/>
          <w:highlight w:val="none"/>
        </w:rPr>
        <w:t>确定中标人。</w:t>
      </w:r>
    </w:p>
    <w:p>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5.2. 定标程序</w:t>
      </w:r>
    </w:p>
    <w:p>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5.2.1 评标委员会将评标情况写出书面报告，推荐三名中标候选人。</w:t>
      </w:r>
    </w:p>
    <w:p>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5.2.2 招标代理机构在评标结束后2个工作日内将评标报告送招标人。</w:t>
      </w:r>
    </w:p>
    <w:p>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5.2.3 招标人在收到评标报告后5个工作日内按照评标报告中推荐的中标候选人顺序确定中标人。</w:t>
      </w:r>
    </w:p>
    <w:p>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中标候选人；报价相同且满足招标文件全部实质性要求且按照评审因素的量化指标评审得分也相同的并列，优先选择不发达地区或少数民族地区或脱贫攻坚地区的投标人；报价相同且满足招标文件全部实质性要求且按照评审因素的量化指标评审得分也相同无投标人属于不发达地区或少数民族地区或脱贫攻坚地区的或投标人均属于不发达地区或少数民族地区或脱贫攻坚地区的并列，由招标人自主采取公平、择优的方式选择中标候选人。(不发达地区或脱贫攻坚地区的投标人需提供属于不发达地区或脱贫攻坚的相关证明材料，少数民族地区提供相关证明材料或投标人注册地为少数民族地区。)</w:t>
      </w:r>
    </w:p>
    <w:p>
      <w:pPr>
        <w:spacing w:line="240" w:lineRule="auto"/>
        <w:ind w:firstLine="482" w:firstLineChars="200"/>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注意，招标人按照推荐的中标候选人顺序确定中标人，不能认为招标人只能确定第一中标候选人为中标人，招标人有正当理由的，可以确定后一顺序中标候选人为中标人，</w:t>
      </w:r>
      <w:r>
        <w:rPr>
          <w:rFonts w:hint="eastAsia" w:ascii="宋体" w:hAnsi="宋体" w:eastAsia="宋体" w:cs="宋体"/>
          <w:b/>
          <w:bCs/>
          <w:color w:val="auto"/>
          <w:sz w:val="24"/>
          <w:szCs w:val="24"/>
          <w:highlight w:val="none"/>
          <w:lang w:eastAsia="zh-CN"/>
        </w:rPr>
        <w:t>依此类推</w:t>
      </w:r>
      <w:r>
        <w:rPr>
          <w:rFonts w:hint="eastAsia" w:ascii="宋体" w:hAnsi="宋体" w:eastAsia="宋体" w:cs="宋体"/>
          <w:b/>
          <w:bCs/>
          <w:color w:val="auto"/>
          <w:sz w:val="24"/>
          <w:szCs w:val="24"/>
          <w:highlight w:val="none"/>
        </w:rPr>
        <w:t>。</w:t>
      </w:r>
    </w:p>
    <w:p>
      <w:pPr>
        <w:spacing w:line="240" w:lineRule="auto"/>
        <w:ind w:firstLine="482" w:firstLineChars="200"/>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招标人在收到评审报告之日起5个工作日内未按评标报告推荐的中标候选人顺序确定中标人，又不能说明合法理由的，视同按评审报告推荐的顺序确定排名第一的中标候选人为中标人。</w:t>
      </w:r>
    </w:p>
    <w:p>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5.2.4 招标代理机构自中标人确定之日起2个工作日内，在中国招标投标公共服务平台（http://www.cebpubservice.com/）上公告中标结果。</w:t>
      </w:r>
    </w:p>
    <w:p>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5.2.5 招标采购单位不退回投标人投标文件和其他投标资料。</w:t>
      </w:r>
    </w:p>
    <w:p>
      <w:pPr>
        <w:spacing w:line="240" w:lineRule="auto"/>
        <w:ind w:firstLine="482" w:firstLineChars="200"/>
        <w:outlineLvl w:val="1"/>
        <w:rPr>
          <w:rFonts w:ascii="宋体" w:hAnsi="宋体" w:eastAsia="宋体" w:cs="宋体"/>
          <w:b/>
          <w:bCs/>
          <w:color w:val="auto"/>
          <w:sz w:val="24"/>
          <w:szCs w:val="24"/>
          <w:highlight w:val="none"/>
        </w:rPr>
      </w:pPr>
      <w:bookmarkStart w:id="192" w:name="_Toc31384"/>
      <w:bookmarkStart w:id="193" w:name="_Toc29395"/>
      <w:bookmarkStart w:id="194" w:name="_Toc30005"/>
      <w:r>
        <w:rPr>
          <w:rFonts w:hint="eastAsia" w:ascii="宋体" w:hAnsi="宋体" w:eastAsia="宋体" w:cs="宋体"/>
          <w:b/>
          <w:bCs/>
          <w:color w:val="auto"/>
          <w:sz w:val="24"/>
          <w:szCs w:val="24"/>
          <w:highlight w:val="none"/>
          <w:lang w:eastAsia="zh-CN"/>
        </w:rPr>
        <w:t>六、</w:t>
      </w:r>
      <w:r>
        <w:rPr>
          <w:rFonts w:hint="eastAsia" w:ascii="宋体" w:hAnsi="宋体" w:eastAsia="宋体" w:cs="宋体"/>
          <w:b/>
          <w:bCs/>
          <w:color w:val="auto"/>
          <w:sz w:val="24"/>
          <w:szCs w:val="24"/>
          <w:highlight w:val="none"/>
        </w:rPr>
        <w:t>评标专家在采购活动中承担以下义务：</w:t>
      </w:r>
      <w:bookmarkEnd w:id="192"/>
      <w:bookmarkEnd w:id="193"/>
      <w:bookmarkEnd w:id="194"/>
    </w:p>
    <w:p>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6.1 遵守评审工作纪律；</w:t>
      </w:r>
    </w:p>
    <w:p>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6.2 按照客观、公正、审慎的原则，根据采购文件规定的评审程序、评审方法和评审标准进行独立评审；</w:t>
      </w:r>
    </w:p>
    <w:p>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6.3 不得泄露评审文件、评审情况和在评审过程中获悉的商业秘密；</w:t>
      </w:r>
    </w:p>
    <w:p>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6.4 及时向监督部门报告评审过程中采购组织单位向评审专家做倾向性、误导性的解释或者说明，供应商行贿、提供虚假材料或者串通、受到的非法干预情况等违法违规行为；</w:t>
      </w:r>
    </w:p>
    <w:p>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6.5 发现采购文件内容违反国家有关强制性规定或者存在歧义、重大缺陷导致评审工作无法进行时，停止评审并向采购组织单位书面说明情况；</w:t>
      </w:r>
    </w:p>
    <w:p>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6.6 配合答复处理供应商的询问、质疑和投诉等事项；</w:t>
      </w:r>
    </w:p>
    <w:p>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6.7 法律、法规和规章规定的其他义务。</w:t>
      </w:r>
    </w:p>
    <w:p>
      <w:pPr>
        <w:spacing w:line="240" w:lineRule="auto"/>
        <w:ind w:firstLine="482" w:firstLineChars="200"/>
        <w:outlineLvl w:val="1"/>
        <w:rPr>
          <w:rFonts w:ascii="宋体" w:hAnsi="宋体" w:eastAsia="宋体" w:cs="宋体"/>
          <w:b/>
          <w:bCs/>
          <w:color w:val="auto"/>
          <w:sz w:val="24"/>
          <w:szCs w:val="24"/>
          <w:highlight w:val="none"/>
        </w:rPr>
      </w:pPr>
      <w:bookmarkStart w:id="195" w:name="_Toc2497"/>
      <w:bookmarkStart w:id="196" w:name="_Toc5511"/>
      <w:bookmarkStart w:id="197" w:name="_Toc13558"/>
      <w:r>
        <w:rPr>
          <w:rFonts w:hint="eastAsia" w:ascii="宋体" w:hAnsi="宋体" w:eastAsia="宋体" w:cs="宋体"/>
          <w:b/>
          <w:bCs/>
          <w:color w:val="auto"/>
          <w:sz w:val="24"/>
          <w:szCs w:val="24"/>
          <w:highlight w:val="none"/>
          <w:lang w:eastAsia="zh-CN"/>
        </w:rPr>
        <w:t>七、</w:t>
      </w:r>
      <w:r>
        <w:rPr>
          <w:rFonts w:hint="eastAsia" w:ascii="宋体" w:hAnsi="宋体" w:eastAsia="宋体" w:cs="宋体"/>
          <w:b/>
          <w:bCs/>
          <w:color w:val="auto"/>
          <w:sz w:val="24"/>
          <w:szCs w:val="24"/>
          <w:highlight w:val="none"/>
        </w:rPr>
        <w:t>评标专家在采购活动中应当遵守以下工作纪律：</w:t>
      </w:r>
      <w:bookmarkEnd w:id="195"/>
      <w:bookmarkEnd w:id="196"/>
      <w:bookmarkEnd w:id="197"/>
    </w:p>
    <w:p>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7.1 遵行《中华人民共和国政府采购法》第十二条和《中华人民共和国政府采购法实施条例》第九条及财政部关于回避的规定。</w:t>
      </w:r>
    </w:p>
    <w:p>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7.2 评标前，应当将通讯工具或者相关电子设备交由招标采购单位统一保管。</w:t>
      </w:r>
    </w:p>
    <w:p>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7.3 评标过程中，不得与外界联系，因发生不可预见情况，确实需要与外界联系的，应当在监督人员监督之下办理。</w:t>
      </w:r>
    </w:p>
    <w:p>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7.4 评标过程中，不得干预或者影响正常评标工作，不得发表倾向性、引导性意见，不得修改或细化招标文件确定的评标程序、评标方法、评标因素和评标标准，不得接受供应商主动提出的澄清和解释，不得征询招标人代表的意见，不得协商评分，不得违反规定的评标格式评分和撰写评标意见，不得拒绝对自己的 评标意见签字确认。</w:t>
      </w:r>
    </w:p>
    <w:p>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7.5 在评标过程中和评标结束后，不得记录、复制或带走任何评标资料，除因规定的义务外，不得向外界透露评标内容。</w:t>
      </w:r>
    </w:p>
    <w:p>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7.6 服从评标现场招标采购单位的现场秩序管理，接受评标现场监督人员的合法监督。</w:t>
      </w:r>
    </w:p>
    <w:p>
      <w:pPr>
        <w:spacing w:line="240" w:lineRule="auto"/>
        <w:ind w:firstLine="504" w:firstLineChars="200"/>
        <w:rPr>
          <w:rFonts w:ascii="宋体" w:hAnsi="宋体" w:eastAsia="宋体" w:cs="宋体"/>
          <w:color w:val="auto"/>
          <w:spacing w:val="6"/>
          <w:sz w:val="23"/>
          <w:szCs w:val="23"/>
          <w:highlight w:val="none"/>
        </w:rPr>
      </w:pPr>
      <w:r>
        <w:rPr>
          <w:rFonts w:hint="eastAsia" w:ascii="宋体" w:hAnsi="宋体" w:eastAsia="宋体" w:cs="宋体"/>
          <w:color w:val="auto"/>
          <w:spacing w:val="6"/>
          <w:sz w:val="24"/>
          <w:szCs w:val="24"/>
          <w:highlight w:val="none"/>
        </w:rPr>
        <w:t>7.7 遵守有关廉洁自律规定，不得私下接触供应商，不得收受供应商及有关业务单位和个人的财物或好处，不得接受采购组织单位的请托。</w:t>
      </w:r>
    </w:p>
    <w:p>
      <w:pPr>
        <w:pStyle w:val="15"/>
        <w:spacing w:line="240" w:lineRule="auto"/>
        <w:rPr>
          <w:rFonts w:ascii="宋体" w:hAnsi="宋体" w:eastAsia="宋体" w:cs="宋体"/>
          <w:color w:val="auto"/>
          <w:spacing w:val="6"/>
          <w:sz w:val="23"/>
          <w:szCs w:val="23"/>
          <w:highlight w:val="none"/>
        </w:rPr>
      </w:pPr>
    </w:p>
    <w:p>
      <w:pPr>
        <w:pStyle w:val="15"/>
        <w:spacing w:line="240" w:lineRule="auto"/>
        <w:rPr>
          <w:rFonts w:ascii="宋体" w:hAnsi="宋体" w:eastAsia="宋体" w:cs="宋体"/>
          <w:color w:val="auto"/>
          <w:spacing w:val="6"/>
          <w:sz w:val="23"/>
          <w:szCs w:val="23"/>
          <w:highlight w:val="none"/>
        </w:rPr>
      </w:pPr>
    </w:p>
    <w:p>
      <w:pPr>
        <w:pStyle w:val="15"/>
        <w:spacing w:line="240" w:lineRule="auto"/>
        <w:rPr>
          <w:rFonts w:ascii="宋体" w:hAnsi="宋体" w:eastAsia="宋体" w:cs="宋体"/>
          <w:color w:val="auto"/>
          <w:spacing w:val="6"/>
          <w:sz w:val="23"/>
          <w:szCs w:val="23"/>
          <w:highlight w:val="none"/>
        </w:rPr>
      </w:pPr>
    </w:p>
    <w:p>
      <w:pPr>
        <w:pStyle w:val="15"/>
        <w:spacing w:line="240" w:lineRule="auto"/>
        <w:rPr>
          <w:rFonts w:ascii="宋体" w:hAnsi="宋体" w:eastAsia="宋体" w:cs="宋体"/>
          <w:color w:val="auto"/>
          <w:spacing w:val="6"/>
          <w:sz w:val="23"/>
          <w:szCs w:val="23"/>
          <w:highlight w:val="none"/>
        </w:rPr>
      </w:pPr>
    </w:p>
    <w:p>
      <w:pPr>
        <w:pStyle w:val="15"/>
        <w:spacing w:line="240" w:lineRule="auto"/>
        <w:rPr>
          <w:rFonts w:ascii="宋体" w:hAnsi="宋体" w:eastAsia="宋体" w:cs="宋体"/>
          <w:color w:val="auto"/>
          <w:spacing w:val="6"/>
          <w:sz w:val="23"/>
          <w:szCs w:val="23"/>
          <w:highlight w:val="none"/>
        </w:rPr>
      </w:pPr>
    </w:p>
    <w:p>
      <w:pPr>
        <w:spacing w:line="240" w:lineRule="auto"/>
        <w:rPr>
          <w:rFonts w:ascii="宋体" w:hAnsi="宋体" w:eastAsia="宋体" w:cs="宋体"/>
          <w:color w:val="auto"/>
          <w:spacing w:val="6"/>
          <w:sz w:val="23"/>
          <w:szCs w:val="23"/>
          <w:highlight w:val="none"/>
        </w:rPr>
      </w:pPr>
      <w:r>
        <w:rPr>
          <w:rFonts w:ascii="宋体" w:hAnsi="宋体" w:eastAsia="宋体" w:cs="宋体"/>
          <w:color w:val="auto"/>
          <w:spacing w:val="6"/>
          <w:sz w:val="23"/>
          <w:szCs w:val="23"/>
          <w:highlight w:val="none"/>
        </w:rPr>
        <w:br w:type="page"/>
      </w:r>
    </w:p>
    <w:p>
      <w:pPr>
        <w:spacing w:line="240" w:lineRule="auto"/>
        <w:rPr>
          <w:color w:val="auto"/>
          <w:highlight w:val="none"/>
        </w:rPr>
        <w:sectPr>
          <w:headerReference r:id="rId43" w:type="default"/>
          <w:footerReference r:id="rId44" w:type="default"/>
          <w:pgSz w:w="11905" w:h="16838"/>
          <w:pgMar w:top="1417" w:right="1417" w:bottom="1417" w:left="1417" w:header="0" w:footer="1134" w:gutter="0"/>
          <w:cols w:space="0" w:num="1"/>
        </w:sectPr>
      </w:pPr>
    </w:p>
    <w:p>
      <w:pPr>
        <w:spacing w:line="240" w:lineRule="auto"/>
        <w:rPr>
          <w:color w:val="auto"/>
          <w:highlight w:val="none"/>
        </w:rPr>
      </w:pPr>
    </w:p>
    <w:p>
      <w:pPr>
        <w:spacing w:before="114" w:line="240" w:lineRule="auto"/>
        <w:jc w:val="center"/>
        <w:outlineLvl w:val="0"/>
        <w:rPr>
          <w:rFonts w:ascii="宋体" w:hAnsi="宋体" w:eastAsia="宋体" w:cs="宋体"/>
          <w:color w:val="auto"/>
          <w:spacing w:val="11"/>
          <w:sz w:val="36"/>
          <w:szCs w:val="36"/>
          <w:highlight w:val="none"/>
          <w14:textOutline w14:w="6540" w14:cap="sq" w14:cmpd="sng" w14:algn="ctr">
            <w14:solidFill>
              <w14:srgbClr w14:val="000000"/>
            </w14:solidFill>
            <w14:prstDash w14:val="solid"/>
            <w14:bevel/>
          </w14:textOutline>
        </w:rPr>
      </w:pPr>
      <w:bookmarkStart w:id="198" w:name="_Toc28315"/>
      <w:r>
        <w:rPr>
          <w:rFonts w:hint="eastAsia" w:ascii="宋体" w:hAnsi="宋体" w:eastAsia="宋体" w:cs="宋体"/>
          <w:color w:val="auto"/>
          <w:spacing w:val="11"/>
          <w:sz w:val="36"/>
          <w:szCs w:val="36"/>
          <w:highlight w:val="none"/>
          <w14:textOutline w14:w="6540" w14:cap="sq" w14:cmpd="sng" w14:algn="ctr">
            <w14:solidFill>
              <w14:srgbClr w14:val="000000"/>
            </w14:solidFill>
            <w14:prstDash w14:val="solid"/>
            <w14:bevel/>
          </w14:textOutline>
        </w:rPr>
        <w:t>第八章  合同主要条款</w:t>
      </w:r>
      <w:bookmarkEnd w:id="198"/>
    </w:p>
    <w:p>
      <w:pPr>
        <w:spacing w:line="240" w:lineRule="auto"/>
        <w:rPr>
          <w:color w:val="auto"/>
          <w:highlight w:val="none"/>
        </w:rPr>
      </w:pPr>
    </w:p>
    <w:p>
      <w:pPr>
        <w:pStyle w:val="37"/>
        <w:pageBreakBefore w:val="0"/>
        <w:widowControl w:val="0"/>
        <w:tabs>
          <w:tab w:val="left" w:pos="0"/>
        </w:tabs>
        <w:kinsoku/>
        <w:overflowPunct/>
        <w:autoSpaceDE/>
        <w:autoSpaceDN/>
        <w:bidi w:val="0"/>
        <w:adjustRightInd w:val="0"/>
        <w:snapToGrid w:val="0"/>
        <w:spacing w:line="240" w:lineRule="auto"/>
        <w:ind w:firstLine="0" w:firstLineChars="0"/>
        <w:jc w:val="center"/>
        <w:textAlignment w:val="auto"/>
        <w:rPr>
          <w:rFonts w:hint="eastAsia" w:ascii="宋体" w:hAnsi="宋体" w:eastAsia="宋体" w:cs="宋体"/>
          <w:bCs/>
          <w:color w:val="auto"/>
          <w:kern w:val="2"/>
          <w:sz w:val="28"/>
          <w:szCs w:val="28"/>
          <w:highlight w:val="none"/>
        </w:rPr>
      </w:pPr>
      <w:r>
        <w:rPr>
          <w:rFonts w:hint="eastAsia" w:ascii="宋体" w:hAnsi="宋体" w:eastAsia="宋体" w:cs="宋体"/>
          <w:bCs/>
          <w:color w:val="auto"/>
          <w:kern w:val="2"/>
          <w:sz w:val="28"/>
          <w:szCs w:val="28"/>
          <w:highlight w:val="none"/>
        </w:rPr>
        <w:t>成都市技师学院（成都工贸职业技术学院）2024级学生军训服采购项目</w:t>
      </w:r>
    </w:p>
    <w:p>
      <w:pPr>
        <w:pStyle w:val="37"/>
        <w:pageBreakBefore w:val="0"/>
        <w:widowControl w:val="0"/>
        <w:tabs>
          <w:tab w:val="left" w:pos="0"/>
        </w:tabs>
        <w:kinsoku/>
        <w:overflowPunct/>
        <w:autoSpaceDE/>
        <w:autoSpaceDN/>
        <w:bidi w:val="0"/>
        <w:adjustRightInd w:val="0"/>
        <w:snapToGrid w:val="0"/>
        <w:spacing w:line="240" w:lineRule="auto"/>
        <w:ind w:firstLine="0" w:firstLineChars="0"/>
        <w:jc w:val="center"/>
        <w:textAlignment w:val="auto"/>
        <w:rPr>
          <w:rFonts w:hint="eastAsia" w:ascii="宋体" w:hAnsi="宋体" w:eastAsia="宋体" w:cs="宋体"/>
          <w:bCs/>
          <w:color w:val="auto"/>
          <w:sz w:val="22"/>
          <w:szCs w:val="22"/>
          <w:highlight w:val="none"/>
          <w:u w:val="none"/>
        </w:rPr>
      </w:pPr>
      <w:r>
        <w:rPr>
          <w:rFonts w:hint="eastAsia" w:ascii="宋体" w:hAnsi="宋体" w:eastAsia="宋体" w:cs="宋体"/>
          <w:bCs/>
          <w:color w:val="auto"/>
          <w:sz w:val="28"/>
          <w:szCs w:val="28"/>
          <w:highlight w:val="none"/>
          <w:u w:val="none"/>
        </w:rPr>
        <w:t>合同文本主要条款</w:t>
      </w:r>
    </w:p>
    <w:p>
      <w:pPr>
        <w:pStyle w:val="37"/>
        <w:pageBreakBefore w:val="0"/>
        <w:widowControl w:val="0"/>
        <w:tabs>
          <w:tab w:val="left" w:pos="0"/>
        </w:tabs>
        <w:kinsoku/>
        <w:overflowPunct/>
        <w:autoSpaceDE/>
        <w:autoSpaceDN/>
        <w:bidi w:val="0"/>
        <w:adjustRightInd w:val="0"/>
        <w:snapToGrid w:val="0"/>
        <w:spacing w:line="240" w:lineRule="auto"/>
        <w:ind w:firstLine="482"/>
        <w:textAlignment w:val="auto"/>
        <w:rPr>
          <w:rFonts w:hint="eastAsia" w:ascii="宋体" w:hAnsi="宋体" w:eastAsia="宋体" w:cs="宋体"/>
          <w:b/>
          <w:bCs/>
          <w:color w:val="auto"/>
          <w:sz w:val="22"/>
          <w:szCs w:val="22"/>
          <w:highlight w:val="none"/>
          <w:lang w:val="en-US" w:eastAsia="zh-CN"/>
        </w:rPr>
      </w:pPr>
    </w:p>
    <w:p>
      <w:pPr>
        <w:pStyle w:val="37"/>
        <w:pageBreakBefore w:val="0"/>
        <w:widowControl w:val="0"/>
        <w:tabs>
          <w:tab w:val="left" w:pos="0"/>
        </w:tabs>
        <w:kinsoku/>
        <w:overflowPunct/>
        <w:autoSpaceDE/>
        <w:autoSpaceDN/>
        <w:bidi w:val="0"/>
        <w:adjustRightInd w:val="0"/>
        <w:snapToGrid w:val="0"/>
        <w:spacing w:line="240" w:lineRule="auto"/>
        <w:ind w:firstLine="482"/>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w:t>
      </w:r>
      <w:r>
        <w:rPr>
          <w:rFonts w:hint="eastAsia" w:ascii="宋体" w:hAnsi="宋体" w:eastAsia="宋体" w:cs="宋体"/>
          <w:b/>
          <w:bCs/>
          <w:color w:val="auto"/>
          <w:sz w:val="24"/>
          <w:szCs w:val="24"/>
          <w:highlight w:val="none"/>
        </w:rPr>
        <w:t>重要说明：</w:t>
      </w:r>
      <w:r>
        <w:rPr>
          <w:rFonts w:hint="eastAsia" w:ascii="宋体" w:hAnsi="宋体" w:eastAsia="宋体" w:cs="宋体"/>
          <w:b/>
          <w:bCs/>
          <w:color w:val="auto"/>
          <w:sz w:val="24"/>
          <w:szCs w:val="24"/>
          <w:highlight w:val="none"/>
          <w:lang w:val="en-US" w:eastAsia="zh-CN"/>
        </w:rPr>
        <w:t>招标人、投标人</w:t>
      </w:r>
      <w:r>
        <w:rPr>
          <w:rFonts w:hint="eastAsia" w:ascii="宋体" w:hAnsi="宋体" w:eastAsia="宋体" w:cs="宋体"/>
          <w:b/>
          <w:bCs/>
          <w:color w:val="auto"/>
          <w:sz w:val="24"/>
          <w:szCs w:val="24"/>
          <w:highlight w:val="none"/>
        </w:rPr>
        <w:t>在签订</w:t>
      </w:r>
      <w:r>
        <w:rPr>
          <w:rFonts w:hint="eastAsia" w:ascii="宋体" w:hAnsi="宋体" w:eastAsia="宋体" w:cs="宋体"/>
          <w:b/>
          <w:bCs/>
          <w:color w:val="auto"/>
          <w:sz w:val="24"/>
          <w:szCs w:val="24"/>
          <w:highlight w:val="none"/>
          <w:lang w:val="en-US" w:eastAsia="zh-CN"/>
        </w:rPr>
        <w:t>正式</w:t>
      </w:r>
      <w:r>
        <w:rPr>
          <w:rFonts w:hint="eastAsia" w:ascii="宋体" w:hAnsi="宋体" w:eastAsia="宋体" w:cs="宋体"/>
          <w:b/>
          <w:bCs/>
          <w:color w:val="auto"/>
          <w:sz w:val="24"/>
          <w:szCs w:val="24"/>
          <w:highlight w:val="none"/>
        </w:rPr>
        <w:t>合同前</w:t>
      </w:r>
      <w:r>
        <w:rPr>
          <w:rFonts w:hint="eastAsia" w:ascii="宋体" w:hAnsi="宋体" w:eastAsia="宋体" w:cs="宋体"/>
          <w:b/>
          <w:bCs/>
          <w:color w:val="auto"/>
          <w:sz w:val="24"/>
          <w:szCs w:val="24"/>
          <w:highlight w:val="none"/>
          <w:lang w:val="en-US" w:eastAsia="zh-CN"/>
        </w:rPr>
        <w:t>应</w:t>
      </w:r>
      <w:r>
        <w:rPr>
          <w:rFonts w:hint="eastAsia" w:ascii="宋体" w:hAnsi="宋体" w:eastAsia="宋体" w:cs="宋体"/>
          <w:b/>
          <w:bCs/>
          <w:color w:val="auto"/>
          <w:sz w:val="24"/>
          <w:szCs w:val="24"/>
          <w:highlight w:val="none"/>
        </w:rPr>
        <w:t>依据</w:t>
      </w:r>
      <w:r>
        <w:rPr>
          <w:rFonts w:hint="eastAsia" w:ascii="宋体" w:hAnsi="宋体" w:eastAsia="宋体" w:cs="宋体"/>
          <w:b/>
          <w:bCs/>
          <w:color w:val="auto"/>
          <w:sz w:val="24"/>
          <w:szCs w:val="24"/>
          <w:highlight w:val="none"/>
          <w:lang w:val="en-US" w:eastAsia="zh-CN"/>
        </w:rPr>
        <w:t>本项目的招标文件、投标文件、项目的澄清文件等</w:t>
      </w:r>
      <w:r>
        <w:rPr>
          <w:rFonts w:hint="eastAsia" w:ascii="宋体" w:hAnsi="宋体" w:eastAsia="宋体" w:cs="宋体"/>
          <w:b/>
          <w:bCs/>
          <w:color w:val="auto"/>
          <w:sz w:val="24"/>
          <w:szCs w:val="24"/>
          <w:highlight w:val="none"/>
        </w:rPr>
        <w:t>对以下合同内容进行</w:t>
      </w:r>
      <w:r>
        <w:rPr>
          <w:rFonts w:hint="eastAsia" w:ascii="宋体" w:hAnsi="宋体" w:eastAsia="宋体" w:cs="宋体"/>
          <w:b/>
          <w:bCs/>
          <w:color w:val="auto"/>
          <w:sz w:val="24"/>
          <w:szCs w:val="24"/>
          <w:highlight w:val="none"/>
          <w:lang w:val="en-US" w:eastAsia="zh-CN"/>
        </w:rPr>
        <w:t>修正和完善</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w:t>
      </w:r>
    </w:p>
    <w:p>
      <w:pPr>
        <w:pStyle w:val="37"/>
        <w:pageBreakBefore w:val="0"/>
        <w:widowControl w:val="0"/>
        <w:tabs>
          <w:tab w:val="left" w:pos="0"/>
        </w:tabs>
        <w:kinsoku/>
        <w:overflowPunct/>
        <w:autoSpaceDE/>
        <w:autoSpaceDN/>
        <w:bidi w:val="0"/>
        <w:adjustRightInd w:val="0"/>
        <w:snapToGrid w:val="0"/>
        <w:spacing w:line="240" w:lineRule="auto"/>
        <w:ind w:left="0" w:leftChars="0" w:firstLine="0" w:firstLineChars="0"/>
        <w:textAlignment w:val="auto"/>
        <w:rPr>
          <w:rFonts w:hint="eastAsia" w:ascii="宋体" w:hAnsi="宋体" w:eastAsia="宋体" w:cs="宋体"/>
          <w:b/>
          <w:bCs/>
          <w:color w:val="auto"/>
          <w:sz w:val="24"/>
          <w:szCs w:val="24"/>
          <w:highlight w:val="none"/>
          <w:lang w:val="en-US" w:eastAsia="zh-CN"/>
        </w:rPr>
      </w:pPr>
    </w:p>
    <w:p>
      <w:pPr>
        <w:pStyle w:val="44"/>
        <w:adjustRightInd w:val="0"/>
        <w:snapToGrid w:val="0"/>
        <w:spacing w:line="320" w:lineRule="exact"/>
        <w:ind w:firstLine="480" w:firstLineChars="200"/>
        <w:rPr>
          <w:rFonts w:hint="eastAsia" w:ascii="宋体" w:hAnsi="宋体" w:eastAsia="宋体" w:cs="宋体"/>
          <w:snapToGrid/>
          <w:color w:val="auto"/>
          <w:sz w:val="24"/>
          <w:szCs w:val="24"/>
          <w:highlight w:val="none"/>
        </w:rPr>
      </w:pPr>
      <w:r>
        <w:rPr>
          <w:rFonts w:hint="eastAsia" w:ascii="宋体" w:hAnsi="宋体" w:eastAsia="宋体" w:cs="宋体"/>
          <w:snapToGrid/>
          <w:color w:val="auto"/>
          <w:sz w:val="24"/>
          <w:szCs w:val="24"/>
          <w:highlight w:val="none"/>
        </w:rPr>
        <w:t>合同编号：</w:t>
      </w:r>
    </w:p>
    <w:p>
      <w:pPr>
        <w:pStyle w:val="44"/>
        <w:adjustRightInd w:val="0"/>
        <w:snapToGrid w:val="0"/>
        <w:spacing w:line="320" w:lineRule="exact"/>
        <w:ind w:firstLine="480" w:firstLineChars="200"/>
        <w:rPr>
          <w:rFonts w:hint="eastAsia" w:ascii="宋体" w:hAnsi="宋体" w:eastAsia="宋体" w:cs="宋体"/>
          <w:snapToGrid/>
          <w:color w:val="auto"/>
          <w:sz w:val="24"/>
          <w:szCs w:val="24"/>
          <w:highlight w:val="none"/>
        </w:rPr>
      </w:pPr>
      <w:r>
        <w:rPr>
          <w:rFonts w:hint="eastAsia" w:ascii="宋体" w:hAnsi="宋体" w:eastAsia="宋体" w:cs="宋体"/>
          <w:snapToGrid/>
          <w:color w:val="auto"/>
          <w:sz w:val="24"/>
          <w:szCs w:val="24"/>
          <w:highlight w:val="none"/>
        </w:rPr>
        <w:t>签订地点：成都市郫都区红光街道港通北三路1899号</w:t>
      </w:r>
    </w:p>
    <w:p>
      <w:pPr>
        <w:pStyle w:val="44"/>
        <w:adjustRightInd w:val="0"/>
        <w:snapToGrid w:val="0"/>
        <w:spacing w:line="320" w:lineRule="exact"/>
        <w:ind w:firstLine="480" w:firstLineChars="200"/>
        <w:rPr>
          <w:rFonts w:hint="eastAsia" w:ascii="宋体" w:hAnsi="宋体" w:eastAsia="宋体" w:cs="宋体"/>
          <w:snapToGrid/>
          <w:color w:val="auto"/>
          <w:sz w:val="24"/>
          <w:szCs w:val="24"/>
          <w:highlight w:val="none"/>
        </w:rPr>
      </w:pPr>
      <w:r>
        <w:rPr>
          <w:rFonts w:hint="eastAsia" w:ascii="宋体" w:hAnsi="宋体" w:eastAsia="宋体" w:cs="宋体"/>
          <w:snapToGrid/>
          <w:color w:val="auto"/>
          <w:sz w:val="24"/>
          <w:szCs w:val="24"/>
          <w:highlight w:val="none"/>
        </w:rPr>
        <w:t>签订时间：</w:t>
      </w:r>
    </w:p>
    <w:p>
      <w:pPr>
        <w:pStyle w:val="44"/>
        <w:adjustRightInd w:val="0"/>
        <w:snapToGrid w:val="0"/>
        <w:spacing w:line="320" w:lineRule="exact"/>
        <w:ind w:firstLine="480" w:firstLineChars="200"/>
        <w:rPr>
          <w:rFonts w:hint="eastAsia" w:ascii="宋体" w:hAnsi="宋体" w:eastAsia="宋体" w:cs="宋体"/>
          <w:snapToGrid/>
          <w:color w:val="auto"/>
          <w:sz w:val="24"/>
          <w:szCs w:val="24"/>
          <w:highlight w:val="none"/>
        </w:rPr>
      </w:pPr>
      <w:r>
        <w:rPr>
          <w:rFonts w:hint="eastAsia" w:ascii="宋体" w:hAnsi="宋体" w:eastAsia="宋体" w:cs="宋体"/>
          <w:snapToGrid/>
          <w:color w:val="auto"/>
          <w:sz w:val="24"/>
          <w:szCs w:val="24"/>
          <w:highlight w:val="none"/>
        </w:rPr>
        <w:t>甲方(</w:t>
      </w:r>
      <w:r>
        <w:rPr>
          <w:rFonts w:hint="eastAsia" w:ascii="宋体" w:hAnsi="宋体" w:eastAsia="宋体" w:cs="宋体"/>
          <w:snapToGrid/>
          <w:color w:val="auto"/>
          <w:sz w:val="24"/>
          <w:szCs w:val="24"/>
          <w:highlight w:val="none"/>
          <w:lang w:eastAsia="zh-CN"/>
        </w:rPr>
        <w:t>招标人</w:t>
      </w:r>
      <w:r>
        <w:rPr>
          <w:rFonts w:hint="eastAsia" w:ascii="宋体" w:hAnsi="宋体" w:eastAsia="宋体" w:cs="宋体"/>
          <w:snapToGrid/>
          <w:color w:val="auto"/>
          <w:sz w:val="24"/>
          <w:szCs w:val="24"/>
          <w:highlight w:val="none"/>
        </w:rPr>
        <w:t>)：成都市技师学院（成都工贸职业技术学院）</w:t>
      </w:r>
    </w:p>
    <w:p>
      <w:pPr>
        <w:autoSpaceDE w:val="0"/>
        <w:autoSpaceDN w:val="0"/>
        <w:adjustRightInd w:val="0"/>
        <w:spacing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乙方(</w:t>
      </w:r>
      <w:r>
        <w:rPr>
          <w:rFonts w:hint="eastAsia" w:ascii="宋体" w:hAnsi="宋体" w:eastAsia="宋体" w:cs="宋体"/>
          <w:color w:val="auto"/>
          <w:sz w:val="24"/>
          <w:szCs w:val="24"/>
          <w:highlight w:val="none"/>
          <w:lang w:val="en-US" w:eastAsia="zh-CN"/>
        </w:rPr>
        <w:t>中</w:t>
      </w:r>
      <w:r>
        <w:rPr>
          <w:rFonts w:hint="eastAsia" w:ascii="宋体" w:hAnsi="宋体" w:eastAsia="宋体" w:cs="宋体"/>
          <w:color w:val="auto"/>
          <w:sz w:val="24"/>
          <w:szCs w:val="24"/>
          <w:highlight w:val="none"/>
        </w:rPr>
        <w:t>标人)：</w:t>
      </w:r>
    </w:p>
    <w:p>
      <w:pPr>
        <w:autoSpaceDE w:val="0"/>
        <w:autoSpaceDN w:val="0"/>
        <w:adjustRightInd w:val="0"/>
        <w:spacing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根据《中华人民共和国民法典》及成都市技师学院（成都工贸职业技术学院）</w:t>
      </w:r>
      <w:r>
        <w:rPr>
          <w:rFonts w:hint="eastAsia" w:ascii="宋体" w:hAnsi="宋体" w:eastAsia="宋体" w:cs="宋体"/>
          <w:color w:val="auto"/>
          <w:sz w:val="24"/>
          <w:szCs w:val="24"/>
          <w:highlight w:val="none"/>
          <w:lang w:eastAsia="zh-CN"/>
        </w:rPr>
        <w:t>202</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eastAsia="zh-CN"/>
        </w:rPr>
        <w:t>级</w:t>
      </w:r>
      <w:r>
        <w:rPr>
          <w:rFonts w:hint="eastAsia" w:ascii="宋体" w:hAnsi="宋体" w:eastAsia="宋体" w:cs="宋体"/>
          <w:color w:val="auto"/>
          <w:sz w:val="24"/>
          <w:szCs w:val="24"/>
          <w:highlight w:val="none"/>
        </w:rPr>
        <w:t>学生军训服采购项目（项目编号：）的《招标文件》、乙方的《投标文件》及《中标通知书》，甲、乙双方同意签订本合同。就甲方委托乙方承担成都市技师学院（成都工贸职业技术学院）</w:t>
      </w:r>
      <w:r>
        <w:rPr>
          <w:rFonts w:hint="eastAsia" w:ascii="宋体" w:hAnsi="宋体" w:eastAsia="宋体" w:cs="宋体"/>
          <w:color w:val="auto"/>
          <w:sz w:val="24"/>
          <w:szCs w:val="24"/>
          <w:highlight w:val="none"/>
          <w:lang w:eastAsia="zh-CN"/>
        </w:rPr>
        <w:t>202</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eastAsia="zh-CN"/>
        </w:rPr>
        <w:t>级</w:t>
      </w:r>
      <w:r>
        <w:rPr>
          <w:rFonts w:hint="eastAsia" w:ascii="宋体" w:hAnsi="宋体" w:eastAsia="宋体" w:cs="宋体"/>
          <w:color w:val="auto"/>
          <w:sz w:val="24"/>
          <w:szCs w:val="24"/>
          <w:highlight w:val="none"/>
        </w:rPr>
        <w:t>学生军训服采购项目事宜如下：</w:t>
      </w:r>
    </w:p>
    <w:p>
      <w:pPr>
        <w:pStyle w:val="44"/>
        <w:adjustRightInd w:val="0"/>
        <w:snapToGrid w:val="0"/>
        <w:spacing w:line="320" w:lineRule="exact"/>
        <w:ind w:firstLine="480" w:firstLineChars="200"/>
        <w:rPr>
          <w:rFonts w:hint="eastAsia" w:ascii="宋体" w:hAnsi="宋体" w:eastAsia="宋体" w:cs="宋体"/>
          <w:snapToGrid/>
          <w:color w:val="auto"/>
          <w:sz w:val="24"/>
          <w:szCs w:val="24"/>
          <w:highlight w:val="none"/>
        </w:rPr>
      </w:pPr>
    </w:p>
    <w:p>
      <w:pPr>
        <w:tabs>
          <w:tab w:val="left" w:pos="0"/>
        </w:tabs>
        <w:adjustRightInd w:val="0"/>
        <w:snapToGrid w:val="0"/>
        <w:spacing w:line="320" w:lineRule="exact"/>
        <w:ind w:firstLine="482" w:firstLineChars="200"/>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一、项目基本情况</w:t>
      </w:r>
    </w:p>
    <w:p>
      <w:pPr>
        <w:autoSpaceDE w:val="0"/>
        <w:autoSpaceDN w:val="0"/>
        <w:adjustRightInd w:val="0"/>
        <w:spacing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本次采购一名供应为成都市技师学院（成都工贸职业技术学院）</w:t>
      </w:r>
      <w:r>
        <w:rPr>
          <w:rFonts w:hint="eastAsia" w:ascii="宋体" w:hAnsi="宋体" w:eastAsia="宋体" w:cs="宋体"/>
          <w:color w:val="auto"/>
          <w:sz w:val="24"/>
          <w:szCs w:val="24"/>
          <w:highlight w:val="none"/>
          <w:lang w:eastAsia="zh-CN"/>
        </w:rPr>
        <w:t>202</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eastAsia="zh-CN"/>
        </w:rPr>
        <w:t>级</w:t>
      </w:r>
      <w:r>
        <w:rPr>
          <w:rFonts w:hint="eastAsia" w:ascii="宋体" w:hAnsi="宋体" w:eastAsia="宋体" w:cs="宋体"/>
          <w:color w:val="auto"/>
          <w:sz w:val="24"/>
          <w:szCs w:val="24"/>
          <w:highlight w:val="none"/>
        </w:rPr>
        <w:t>新生提供军训服装。涉及军训校区为</w:t>
      </w:r>
      <w:r>
        <w:rPr>
          <w:rFonts w:hint="eastAsia" w:ascii="宋体" w:hAnsi="宋体" w:eastAsia="宋体" w:cs="宋体"/>
          <w:color w:val="auto"/>
          <w:sz w:val="24"/>
          <w:szCs w:val="24"/>
          <w:highlight w:val="none"/>
          <w:lang w:eastAsia="zh-CN"/>
        </w:rPr>
        <w:t>郫都校区</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郫都</w:t>
      </w:r>
      <w:r>
        <w:rPr>
          <w:rFonts w:hint="eastAsia" w:ascii="宋体" w:hAnsi="宋体" w:eastAsia="宋体" w:cs="宋体"/>
          <w:color w:val="auto"/>
          <w:sz w:val="24"/>
          <w:szCs w:val="24"/>
          <w:highlight w:val="none"/>
        </w:rPr>
        <w:t>西校区、新都校区、成华校区。甲方计划招生约为：</w:t>
      </w:r>
      <w:r>
        <w:rPr>
          <w:rFonts w:hint="eastAsia" w:ascii="宋体" w:hAnsi="宋体" w:eastAsia="宋体" w:cs="宋体"/>
          <w:color w:val="auto"/>
          <w:sz w:val="24"/>
          <w:szCs w:val="24"/>
          <w:highlight w:val="none"/>
          <w:lang w:val="en-US" w:eastAsia="zh-CN"/>
        </w:rPr>
        <w:t>5000</w:t>
      </w:r>
      <w:r>
        <w:rPr>
          <w:rFonts w:hint="eastAsia" w:ascii="宋体" w:hAnsi="宋体" w:eastAsia="宋体" w:cs="宋体"/>
          <w:color w:val="auto"/>
          <w:sz w:val="24"/>
          <w:szCs w:val="24"/>
          <w:highlight w:val="none"/>
        </w:rPr>
        <w:t>人，其中中职1</w:t>
      </w:r>
      <w:r>
        <w:rPr>
          <w:rFonts w:hint="eastAsia" w:ascii="宋体" w:hAnsi="宋体" w:eastAsia="宋体" w:cs="宋体"/>
          <w:color w:val="auto"/>
          <w:sz w:val="24"/>
          <w:szCs w:val="24"/>
          <w:highlight w:val="none"/>
          <w:lang w:val="en-US" w:eastAsia="zh-CN"/>
        </w:rPr>
        <w:t>200</w:t>
      </w:r>
      <w:r>
        <w:rPr>
          <w:rFonts w:hint="eastAsia" w:ascii="宋体" w:hAnsi="宋体" w:eastAsia="宋体" w:cs="宋体"/>
          <w:color w:val="auto"/>
          <w:sz w:val="24"/>
          <w:szCs w:val="24"/>
          <w:highlight w:val="none"/>
        </w:rPr>
        <w:t>人，高职:</w:t>
      </w:r>
      <w:r>
        <w:rPr>
          <w:rFonts w:hint="eastAsia" w:ascii="宋体" w:hAnsi="宋体" w:eastAsia="宋体" w:cs="宋体"/>
          <w:color w:val="auto"/>
          <w:sz w:val="24"/>
          <w:szCs w:val="24"/>
          <w:highlight w:val="none"/>
          <w:lang w:val="en-US" w:eastAsia="zh-CN"/>
        </w:rPr>
        <w:t>3800</w:t>
      </w:r>
      <w:r>
        <w:rPr>
          <w:rFonts w:hint="eastAsia" w:ascii="宋体" w:hAnsi="宋体" w:eastAsia="宋体" w:cs="宋体"/>
          <w:color w:val="auto"/>
          <w:sz w:val="24"/>
          <w:szCs w:val="24"/>
          <w:highlight w:val="none"/>
        </w:rPr>
        <w:t>人（最终以实际招生为准）。</w:t>
      </w:r>
    </w:p>
    <w:p>
      <w:pPr>
        <w:pStyle w:val="2"/>
        <w:spacing w:line="400" w:lineRule="exact"/>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二、合同标的</w:t>
      </w:r>
    </w:p>
    <w:p>
      <w:pPr>
        <w:tabs>
          <w:tab w:val="left" w:pos="0"/>
        </w:tabs>
        <w:adjustRightInd w:val="0"/>
        <w:snapToGrid w:val="0"/>
        <w:spacing w:line="32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1.合同标的明细</w:t>
      </w:r>
    </w:p>
    <w:tbl>
      <w:tblPr>
        <w:tblStyle w:val="18"/>
        <w:tblW w:w="9097"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96"/>
        <w:gridCol w:w="2498"/>
        <w:gridCol w:w="1247"/>
        <w:gridCol w:w="920"/>
        <w:gridCol w:w="1926"/>
        <w:gridCol w:w="121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47" w:hRule="atLeast"/>
        </w:trPr>
        <w:tc>
          <w:tcPr>
            <w:tcW w:w="1296" w:type="dxa"/>
            <w:tcBorders>
              <w:top w:val="single" w:color="auto" w:sz="4" w:space="0"/>
              <w:left w:val="single" w:color="auto" w:sz="4" w:space="0"/>
              <w:bottom w:val="single" w:color="auto" w:sz="4" w:space="0"/>
              <w:right w:val="single" w:color="auto" w:sz="4" w:space="0"/>
            </w:tcBorders>
            <w:noWrap w:val="0"/>
            <w:vAlign w:val="center"/>
          </w:tcPr>
          <w:p>
            <w:pPr>
              <w:tabs>
                <w:tab w:val="left" w:pos="0"/>
              </w:tabs>
              <w:adjustRightInd w:val="0"/>
              <w:snapToGrid w:val="0"/>
              <w:spacing w:line="32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货物名称</w:t>
            </w:r>
          </w:p>
        </w:tc>
        <w:tc>
          <w:tcPr>
            <w:tcW w:w="2498" w:type="dxa"/>
            <w:tcBorders>
              <w:top w:val="single" w:color="auto" w:sz="4" w:space="0"/>
              <w:left w:val="single" w:color="auto" w:sz="4" w:space="0"/>
              <w:bottom w:val="single" w:color="auto" w:sz="4" w:space="0"/>
              <w:right w:val="single" w:color="auto" w:sz="4" w:space="0"/>
            </w:tcBorders>
            <w:noWrap w:val="0"/>
            <w:vAlign w:val="center"/>
          </w:tcPr>
          <w:p>
            <w:pPr>
              <w:tabs>
                <w:tab w:val="left" w:pos="0"/>
              </w:tabs>
              <w:adjustRightInd w:val="0"/>
              <w:snapToGrid w:val="0"/>
              <w:spacing w:line="32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制造商</w:t>
            </w:r>
          </w:p>
        </w:tc>
        <w:tc>
          <w:tcPr>
            <w:tcW w:w="1247" w:type="dxa"/>
            <w:tcBorders>
              <w:top w:val="single" w:color="auto" w:sz="4" w:space="0"/>
              <w:left w:val="single" w:color="auto" w:sz="4" w:space="0"/>
              <w:bottom w:val="single" w:color="auto" w:sz="4" w:space="0"/>
              <w:right w:val="single" w:color="auto" w:sz="4" w:space="0"/>
            </w:tcBorders>
            <w:noWrap w:val="0"/>
            <w:vAlign w:val="center"/>
          </w:tcPr>
          <w:p>
            <w:pPr>
              <w:tabs>
                <w:tab w:val="left" w:pos="0"/>
              </w:tabs>
              <w:adjustRightInd w:val="0"/>
              <w:snapToGrid w:val="0"/>
              <w:spacing w:line="32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品牌</w:t>
            </w:r>
          </w:p>
        </w:tc>
        <w:tc>
          <w:tcPr>
            <w:tcW w:w="920" w:type="dxa"/>
            <w:tcBorders>
              <w:top w:val="single" w:color="auto" w:sz="4" w:space="0"/>
              <w:left w:val="single" w:color="auto" w:sz="4" w:space="0"/>
              <w:bottom w:val="single" w:color="auto" w:sz="4" w:space="0"/>
              <w:right w:val="single" w:color="auto" w:sz="4" w:space="0"/>
            </w:tcBorders>
            <w:noWrap w:val="0"/>
            <w:vAlign w:val="center"/>
          </w:tcPr>
          <w:p>
            <w:pPr>
              <w:tabs>
                <w:tab w:val="left" w:pos="0"/>
              </w:tabs>
              <w:adjustRightInd w:val="0"/>
              <w:snapToGrid w:val="0"/>
              <w:spacing w:line="32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单位</w:t>
            </w:r>
          </w:p>
        </w:tc>
        <w:tc>
          <w:tcPr>
            <w:tcW w:w="1926" w:type="dxa"/>
            <w:tcBorders>
              <w:top w:val="single" w:color="auto" w:sz="4" w:space="0"/>
              <w:left w:val="single" w:color="auto" w:sz="4" w:space="0"/>
              <w:bottom w:val="single" w:color="auto" w:sz="4" w:space="0"/>
              <w:right w:val="single" w:color="auto" w:sz="4" w:space="0"/>
            </w:tcBorders>
            <w:noWrap w:val="0"/>
            <w:vAlign w:val="center"/>
          </w:tcPr>
          <w:p>
            <w:pPr>
              <w:tabs>
                <w:tab w:val="left" w:pos="0"/>
              </w:tabs>
              <w:adjustRightInd w:val="0"/>
              <w:snapToGrid w:val="0"/>
              <w:spacing w:line="32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成交单价（元）</w:t>
            </w:r>
          </w:p>
        </w:tc>
        <w:tc>
          <w:tcPr>
            <w:tcW w:w="1210" w:type="dxa"/>
            <w:tcBorders>
              <w:top w:val="single" w:color="auto" w:sz="4" w:space="0"/>
              <w:left w:val="single" w:color="auto" w:sz="4" w:space="0"/>
              <w:bottom w:val="single" w:color="auto" w:sz="4" w:space="0"/>
              <w:right w:val="single" w:color="auto" w:sz="4" w:space="0"/>
            </w:tcBorders>
            <w:noWrap w:val="0"/>
            <w:vAlign w:val="center"/>
          </w:tcPr>
          <w:p>
            <w:pPr>
              <w:tabs>
                <w:tab w:val="left" w:pos="0"/>
              </w:tabs>
              <w:adjustRightInd w:val="0"/>
              <w:snapToGrid w:val="0"/>
              <w:spacing w:line="32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备注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5" w:hRule="atLeast"/>
        </w:trPr>
        <w:tc>
          <w:tcPr>
            <w:tcW w:w="1296" w:type="dxa"/>
            <w:tcBorders>
              <w:top w:val="single" w:color="auto" w:sz="4" w:space="0"/>
              <w:left w:val="single" w:color="auto" w:sz="4" w:space="0"/>
              <w:bottom w:val="single" w:color="auto" w:sz="4" w:space="0"/>
              <w:right w:val="single" w:color="auto" w:sz="4" w:space="0"/>
            </w:tcBorders>
            <w:noWrap w:val="0"/>
            <w:vAlign w:val="center"/>
          </w:tcPr>
          <w:p>
            <w:pPr>
              <w:tabs>
                <w:tab w:val="left" w:pos="0"/>
              </w:tabs>
              <w:adjustRightInd w:val="0"/>
              <w:snapToGrid w:val="0"/>
              <w:spacing w:line="320" w:lineRule="exact"/>
              <w:jc w:val="left"/>
              <w:rPr>
                <w:rFonts w:hint="eastAsia" w:ascii="宋体" w:hAnsi="宋体" w:eastAsia="宋体" w:cs="宋体"/>
                <w:color w:val="auto"/>
                <w:sz w:val="24"/>
                <w:szCs w:val="24"/>
                <w:highlight w:val="none"/>
              </w:rPr>
            </w:pPr>
          </w:p>
        </w:tc>
        <w:tc>
          <w:tcPr>
            <w:tcW w:w="2498" w:type="dxa"/>
            <w:tcBorders>
              <w:top w:val="single" w:color="auto" w:sz="4" w:space="0"/>
              <w:left w:val="single" w:color="auto" w:sz="4" w:space="0"/>
              <w:bottom w:val="single" w:color="auto" w:sz="4" w:space="0"/>
              <w:right w:val="single" w:color="auto" w:sz="4" w:space="0"/>
            </w:tcBorders>
            <w:noWrap w:val="0"/>
            <w:vAlign w:val="center"/>
          </w:tcPr>
          <w:p>
            <w:pPr>
              <w:tabs>
                <w:tab w:val="left" w:pos="0"/>
              </w:tabs>
              <w:adjustRightInd w:val="0"/>
              <w:snapToGrid w:val="0"/>
              <w:spacing w:line="320" w:lineRule="exact"/>
              <w:jc w:val="left"/>
              <w:rPr>
                <w:rFonts w:hint="eastAsia" w:ascii="宋体" w:hAnsi="宋体" w:eastAsia="宋体" w:cs="宋体"/>
                <w:color w:val="auto"/>
                <w:sz w:val="24"/>
                <w:szCs w:val="24"/>
                <w:highlight w:val="none"/>
              </w:rPr>
            </w:pPr>
          </w:p>
        </w:tc>
        <w:tc>
          <w:tcPr>
            <w:tcW w:w="1247" w:type="dxa"/>
            <w:tcBorders>
              <w:top w:val="single" w:color="auto" w:sz="4" w:space="0"/>
              <w:left w:val="single" w:color="auto" w:sz="4" w:space="0"/>
              <w:bottom w:val="single" w:color="auto" w:sz="4" w:space="0"/>
              <w:right w:val="single" w:color="auto" w:sz="4" w:space="0"/>
            </w:tcBorders>
            <w:noWrap w:val="0"/>
            <w:vAlign w:val="center"/>
          </w:tcPr>
          <w:p>
            <w:pPr>
              <w:tabs>
                <w:tab w:val="left" w:pos="0"/>
              </w:tabs>
              <w:adjustRightInd w:val="0"/>
              <w:snapToGrid w:val="0"/>
              <w:spacing w:line="320" w:lineRule="exact"/>
              <w:jc w:val="left"/>
              <w:rPr>
                <w:rFonts w:hint="eastAsia" w:ascii="宋体" w:hAnsi="宋体" w:eastAsia="宋体" w:cs="宋体"/>
                <w:color w:val="auto"/>
                <w:sz w:val="24"/>
                <w:szCs w:val="24"/>
                <w:highlight w:val="none"/>
              </w:rPr>
            </w:pPr>
          </w:p>
        </w:tc>
        <w:tc>
          <w:tcPr>
            <w:tcW w:w="920" w:type="dxa"/>
            <w:tcBorders>
              <w:top w:val="single" w:color="auto" w:sz="4" w:space="0"/>
              <w:left w:val="single" w:color="auto" w:sz="4" w:space="0"/>
              <w:bottom w:val="single" w:color="auto" w:sz="4" w:space="0"/>
              <w:right w:val="single" w:color="auto" w:sz="4" w:space="0"/>
            </w:tcBorders>
            <w:noWrap w:val="0"/>
            <w:vAlign w:val="center"/>
          </w:tcPr>
          <w:p>
            <w:pPr>
              <w:tabs>
                <w:tab w:val="left" w:pos="0"/>
              </w:tabs>
              <w:adjustRightInd w:val="0"/>
              <w:snapToGrid w:val="0"/>
              <w:spacing w:line="320" w:lineRule="exact"/>
              <w:jc w:val="left"/>
              <w:rPr>
                <w:rFonts w:hint="eastAsia" w:ascii="宋体" w:hAnsi="宋体" w:eastAsia="宋体" w:cs="宋体"/>
                <w:color w:val="auto"/>
                <w:sz w:val="24"/>
                <w:szCs w:val="24"/>
                <w:highlight w:val="none"/>
              </w:rPr>
            </w:pPr>
          </w:p>
        </w:tc>
        <w:tc>
          <w:tcPr>
            <w:tcW w:w="1926" w:type="dxa"/>
            <w:tcBorders>
              <w:top w:val="single" w:color="auto" w:sz="4" w:space="0"/>
              <w:left w:val="single" w:color="auto" w:sz="4" w:space="0"/>
              <w:bottom w:val="single" w:color="auto" w:sz="4" w:space="0"/>
              <w:right w:val="single" w:color="auto" w:sz="4" w:space="0"/>
            </w:tcBorders>
            <w:noWrap w:val="0"/>
            <w:vAlign w:val="center"/>
          </w:tcPr>
          <w:p>
            <w:pPr>
              <w:tabs>
                <w:tab w:val="left" w:pos="0"/>
              </w:tabs>
              <w:adjustRightInd w:val="0"/>
              <w:snapToGrid w:val="0"/>
              <w:spacing w:line="320" w:lineRule="exact"/>
              <w:jc w:val="left"/>
              <w:rPr>
                <w:rFonts w:hint="eastAsia" w:ascii="宋体" w:hAnsi="宋体" w:eastAsia="宋体" w:cs="宋体"/>
                <w:color w:val="auto"/>
                <w:sz w:val="24"/>
                <w:szCs w:val="24"/>
                <w:highlight w:val="none"/>
              </w:rPr>
            </w:pPr>
          </w:p>
        </w:tc>
        <w:tc>
          <w:tcPr>
            <w:tcW w:w="1210" w:type="dxa"/>
            <w:tcBorders>
              <w:top w:val="single" w:color="auto" w:sz="4" w:space="0"/>
              <w:left w:val="single" w:color="auto" w:sz="4" w:space="0"/>
              <w:bottom w:val="single" w:color="auto" w:sz="4" w:space="0"/>
              <w:right w:val="single" w:color="auto" w:sz="4" w:space="0"/>
            </w:tcBorders>
            <w:noWrap w:val="0"/>
            <w:vAlign w:val="center"/>
          </w:tcPr>
          <w:p>
            <w:pPr>
              <w:tabs>
                <w:tab w:val="left" w:pos="0"/>
              </w:tabs>
              <w:adjustRightInd w:val="0"/>
              <w:snapToGrid w:val="0"/>
              <w:spacing w:line="320" w:lineRule="exact"/>
              <w:jc w:val="left"/>
              <w:outlineLvl w:val="1"/>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1" w:hRule="atLeast"/>
        </w:trPr>
        <w:tc>
          <w:tcPr>
            <w:tcW w:w="1296" w:type="dxa"/>
            <w:tcBorders>
              <w:top w:val="single" w:color="auto" w:sz="4" w:space="0"/>
              <w:left w:val="single" w:color="auto" w:sz="4" w:space="0"/>
              <w:bottom w:val="single" w:color="auto" w:sz="4" w:space="0"/>
              <w:right w:val="single" w:color="auto" w:sz="4" w:space="0"/>
            </w:tcBorders>
            <w:noWrap w:val="0"/>
            <w:vAlign w:val="center"/>
          </w:tcPr>
          <w:p>
            <w:pPr>
              <w:tabs>
                <w:tab w:val="left" w:pos="0"/>
              </w:tabs>
              <w:adjustRightInd w:val="0"/>
              <w:snapToGrid w:val="0"/>
              <w:spacing w:line="320" w:lineRule="exact"/>
              <w:jc w:val="left"/>
              <w:rPr>
                <w:rFonts w:hint="eastAsia" w:ascii="宋体" w:hAnsi="宋体" w:eastAsia="宋体" w:cs="宋体"/>
                <w:color w:val="auto"/>
                <w:sz w:val="24"/>
                <w:szCs w:val="24"/>
                <w:highlight w:val="none"/>
              </w:rPr>
            </w:pPr>
          </w:p>
        </w:tc>
        <w:tc>
          <w:tcPr>
            <w:tcW w:w="2498" w:type="dxa"/>
            <w:tcBorders>
              <w:top w:val="single" w:color="auto" w:sz="4" w:space="0"/>
              <w:left w:val="single" w:color="auto" w:sz="4" w:space="0"/>
              <w:bottom w:val="single" w:color="auto" w:sz="4" w:space="0"/>
              <w:right w:val="single" w:color="auto" w:sz="4" w:space="0"/>
            </w:tcBorders>
            <w:noWrap w:val="0"/>
            <w:vAlign w:val="center"/>
          </w:tcPr>
          <w:p>
            <w:pPr>
              <w:tabs>
                <w:tab w:val="left" w:pos="0"/>
              </w:tabs>
              <w:adjustRightInd w:val="0"/>
              <w:snapToGrid w:val="0"/>
              <w:spacing w:line="320" w:lineRule="exact"/>
              <w:jc w:val="left"/>
              <w:rPr>
                <w:rFonts w:hint="eastAsia" w:ascii="宋体" w:hAnsi="宋体" w:eastAsia="宋体" w:cs="宋体"/>
                <w:color w:val="auto"/>
                <w:sz w:val="24"/>
                <w:szCs w:val="24"/>
                <w:highlight w:val="none"/>
              </w:rPr>
            </w:pPr>
          </w:p>
        </w:tc>
        <w:tc>
          <w:tcPr>
            <w:tcW w:w="1247" w:type="dxa"/>
            <w:tcBorders>
              <w:top w:val="single" w:color="auto" w:sz="4" w:space="0"/>
              <w:left w:val="single" w:color="auto" w:sz="4" w:space="0"/>
              <w:bottom w:val="single" w:color="auto" w:sz="4" w:space="0"/>
              <w:right w:val="single" w:color="auto" w:sz="4" w:space="0"/>
            </w:tcBorders>
            <w:noWrap w:val="0"/>
            <w:vAlign w:val="center"/>
          </w:tcPr>
          <w:p>
            <w:pPr>
              <w:tabs>
                <w:tab w:val="left" w:pos="0"/>
              </w:tabs>
              <w:adjustRightInd w:val="0"/>
              <w:snapToGrid w:val="0"/>
              <w:spacing w:line="320" w:lineRule="exact"/>
              <w:jc w:val="left"/>
              <w:rPr>
                <w:rFonts w:hint="eastAsia" w:ascii="宋体" w:hAnsi="宋体" w:eastAsia="宋体" w:cs="宋体"/>
                <w:color w:val="auto"/>
                <w:sz w:val="24"/>
                <w:szCs w:val="24"/>
                <w:highlight w:val="none"/>
              </w:rPr>
            </w:pPr>
          </w:p>
        </w:tc>
        <w:tc>
          <w:tcPr>
            <w:tcW w:w="920" w:type="dxa"/>
            <w:tcBorders>
              <w:top w:val="single" w:color="auto" w:sz="4" w:space="0"/>
              <w:left w:val="single" w:color="auto" w:sz="4" w:space="0"/>
              <w:bottom w:val="single" w:color="auto" w:sz="4" w:space="0"/>
              <w:right w:val="single" w:color="auto" w:sz="4" w:space="0"/>
            </w:tcBorders>
            <w:noWrap w:val="0"/>
            <w:vAlign w:val="center"/>
          </w:tcPr>
          <w:p>
            <w:pPr>
              <w:tabs>
                <w:tab w:val="left" w:pos="0"/>
              </w:tabs>
              <w:adjustRightInd w:val="0"/>
              <w:snapToGrid w:val="0"/>
              <w:spacing w:line="320" w:lineRule="exact"/>
              <w:jc w:val="left"/>
              <w:rPr>
                <w:rFonts w:hint="eastAsia" w:ascii="宋体" w:hAnsi="宋体" w:eastAsia="宋体" w:cs="宋体"/>
                <w:color w:val="auto"/>
                <w:sz w:val="24"/>
                <w:szCs w:val="24"/>
                <w:highlight w:val="none"/>
              </w:rPr>
            </w:pPr>
          </w:p>
        </w:tc>
        <w:tc>
          <w:tcPr>
            <w:tcW w:w="1926" w:type="dxa"/>
            <w:tcBorders>
              <w:top w:val="single" w:color="auto" w:sz="4" w:space="0"/>
              <w:left w:val="single" w:color="auto" w:sz="4" w:space="0"/>
              <w:bottom w:val="single" w:color="auto" w:sz="4" w:space="0"/>
              <w:right w:val="single" w:color="auto" w:sz="4" w:space="0"/>
            </w:tcBorders>
            <w:noWrap w:val="0"/>
            <w:vAlign w:val="center"/>
          </w:tcPr>
          <w:p>
            <w:pPr>
              <w:tabs>
                <w:tab w:val="left" w:pos="0"/>
              </w:tabs>
              <w:adjustRightInd w:val="0"/>
              <w:snapToGrid w:val="0"/>
              <w:spacing w:line="320" w:lineRule="exact"/>
              <w:jc w:val="left"/>
              <w:rPr>
                <w:rFonts w:hint="eastAsia" w:ascii="宋体" w:hAnsi="宋体" w:eastAsia="宋体" w:cs="宋体"/>
                <w:color w:val="auto"/>
                <w:sz w:val="24"/>
                <w:szCs w:val="24"/>
                <w:highlight w:val="none"/>
              </w:rPr>
            </w:pPr>
          </w:p>
        </w:tc>
        <w:tc>
          <w:tcPr>
            <w:tcW w:w="1210" w:type="dxa"/>
            <w:tcBorders>
              <w:top w:val="single" w:color="auto" w:sz="4" w:space="0"/>
              <w:left w:val="single" w:color="auto" w:sz="4" w:space="0"/>
              <w:bottom w:val="single" w:color="auto" w:sz="4" w:space="0"/>
              <w:right w:val="single" w:color="auto" w:sz="4" w:space="0"/>
            </w:tcBorders>
            <w:noWrap w:val="0"/>
            <w:vAlign w:val="center"/>
          </w:tcPr>
          <w:p>
            <w:pPr>
              <w:tabs>
                <w:tab w:val="left" w:pos="0"/>
              </w:tabs>
              <w:adjustRightInd w:val="0"/>
              <w:snapToGrid w:val="0"/>
              <w:spacing w:line="320" w:lineRule="exact"/>
              <w:jc w:val="left"/>
              <w:outlineLvl w:val="1"/>
              <w:rPr>
                <w:rFonts w:hint="eastAsia" w:ascii="宋体" w:hAnsi="宋体" w:eastAsia="宋体" w:cs="宋体"/>
                <w:color w:val="auto"/>
                <w:sz w:val="24"/>
                <w:szCs w:val="24"/>
                <w:highlight w:val="none"/>
              </w:rPr>
            </w:pPr>
          </w:p>
        </w:tc>
      </w:tr>
    </w:tbl>
    <w:p>
      <w:pPr>
        <w:tabs>
          <w:tab w:val="left" w:pos="0"/>
        </w:tabs>
        <w:adjustRightInd w:val="0"/>
        <w:snapToGrid w:val="0"/>
        <w:spacing w:line="32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2.合同标的技术参数明细</w:t>
      </w:r>
    </w:p>
    <w:p>
      <w:pPr>
        <w:pStyle w:val="2"/>
        <w:ind w:firstLine="720" w:firstLineChars="3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XXXXXX</w:t>
      </w:r>
    </w:p>
    <w:p>
      <w:pPr>
        <w:tabs>
          <w:tab w:val="left" w:pos="0"/>
        </w:tabs>
        <w:adjustRightInd w:val="0"/>
        <w:snapToGrid w:val="0"/>
        <w:spacing w:line="320" w:lineRule="exact"/>
        <w:ind w:firstLine="482" w:firstLineChars="200"/>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三、履约时间和方式</w:t>
      </w:r>
    </w:p>
    <w:p>
      <w:pPr>
        <w:autoSpaceDE w:val="0"/>
        <w:autoSpaceDN w:val="0"/>
        <w:adjustRightInd w:val="0"/>
        <w:spacing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1.履约期：合同签订之日起至202</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lang w:val="en-US" w:eastAsia="zh-CN"/>
        </w:rPr>
        <w:t>15</w:t>
      </w:r>
      <w:r>
        <w:rPr>
          <w:rFonts w:hint="eastAsia" w:ascii="宋体" w:hAnsi="宋体" w:eastAsia="宋体" w:cs="宋体"/>
          <w:color w:val="auto"/>
          <w:sz w:val="24"/>
          <w:szCs w:val="24"/>
          <w:highlight w:val="none"/>
        </w:rPr>
        <w:t>日</w:t>
      </w:r>
    </w:p>
    <w:p>
      <w:pPr>
        <w:autoSpaceDE w:val="0"/>
        <w:autoSpaceDN w:val="0"/>
        <w:adjustRightInd w:val="0"/>
        <w:spacing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2.乙方收到甲方书面送货通知之日起，根据甲方当批次次所需要的货物品类以及数量，</w:t>
      </w:r>
      <w:r>
        <w:rPr>
          <w:rFonts w:hint="eastAsia" w:ascii="宋体" w:hAnsi="宋体" w:eastAsia="宋体" w:cs="宋体"/>
          <w:bCs/>
          <w:color w:val="auto"/>
          <w:sz w:val="24"/>
          <w:szCs w:val="24"/>
          <w:highlight w:val="none"/>
        </w:rPr>
        <w:t>2个工作日内，按照</w:t>
      </w:r>
      <w:r>
        <w:rPr>
          <w:rFonts w:hint="eastAsia" w:ascii="宋体" w:hAnsi="宋体" w:eastAsia="宋体" w:cs="宋体"/>
          <w:bCs/>
          <w:color w:val="auto"/>
          <w:sz w:val="24"/>
          <w:szCs w:val="24"/>
          <w:highlight w:val="none"/>
          <w:lang w:val="en-US" w:eastAsia="zh-CN"/>
        </w:rPr>
        <w:t>甲方</w:t>
      </w:r>
      <w:r>
        <w:rPr>
          <w:rFonts w:hint="eastAsia" w:ascii="宋体" w:hAnsi="宋体" w:eastAsia="宋体" w:cs="宋体"/>
          <w:bCs/>
          <w:color w:val="auto"/>
          <w:sz w:val="24"/>
          <w:szCs w:val="24"/>
          <w:highlight w:val="none"/>
        </w:rPr>
        <w:t>的订单配送。</w:t>
      </w:r>
      <w:r>
        <w:rPr>
          <w:rFonts w:hint="eastAsia" w:ascii="宋体" w:hAnsi="宋体" w:eastAsia="宋体" w:cs="宋体"/>
          <w:color w:val="auto"/>
          <w:sz w:val="24"/>
          <w:szCs w:val="24"/>
          <w:highlight w:val="none"/>
        </w:rPr>
        <w:t>。</w:t>
      </w:r>
    </w:p>
    <w:p>
      <w:pPr>
        <w:autoSpaceDE w:val="0"/>
        <w:autoSpaceDN w:val="0"/>
        <w:adjustRightInd w:val="0"/>
        <w:spacing w:line="400" w:lineRule="exact"/>
        <w:ind w:firstLine="480" w:firstLineChars="200"/>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3.售后服务期为15日历天，售后服务期的起始日期为学生购买之日起开始计算。</w:t>
      </w:r>
    </w:p>
    <w:p>
      <w:pPr>
        <w:autoSpaceDE w:val="0"/>
        <w:autoSpaceDN w:val="0"/>
        <w:adjustRightInd w:val="0"/>
        <w:spacing w:line="400" w:lineRule="exact"/>
        <w:ind w:firstLine="482" w:firstLineChars="200"/>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四、履约地点</w:t>
      </w:r>
    </w:p>
    <w:p>
      <w:pPr>
        <w:autoSpaceDE w:val="0"/>
        <w:autoSpaceDN w:val="0"/>
        <w:adjustRightInd w:val="0"/>
        <w:spacing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1.成都市郫都区红光街道港通北三路1899号</w:t>
      </w:r>
    </w:p>
    <w:p>
      <w:pPr>
        <w:autoSpaceDE w:val="0"/>
        <w:autoSpaceDN w:val="0"/>
        <w:adjustRightInd w:val="0"/>
        <w:spacing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2.成都市郫都区红光街道高店路1666号</w:t>
      </w:r>
    </w:p>
    <w:p>
      <w:pPr>
        <w:autoSpaceDE w:val="0"/>
        <w:autoSpaceDN w:val="0"/>
        <w:adjustRightInd w:val="0"/>
        <w:spacing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3.成都市成华区万年街道外东槐树店路32号</w:t>
      </w:r>
    </w:p>
    <w:p>
      <w:pPr>
        <w:autoSpaceDE w:val="0"/>
        <w:autoSpaceDN w:val="0"/>
        <w:adjustRightInd w:val="0"/>
        <w:spacing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4.成都市新都区西北村301号</w:t>
      </w:r>
    </w:p>
    <w:p>
      <w:pPr>
        <w:autoSpaceDE w:val="0"/>
        <w:autoSpaceDN w:val="0"/>
        <w:adjustRightInd w:val="0"/>
        <w:spacing w:line="400" w:lineRule="exact"/>
        <w:ind w:firstLine="482" w:firstLineChars="200"/>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五、合同总价、付款安排、支付方式</w:t>
      </w:r>
    </w:p>
    <w:p>
      <w:pPr>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1.成交单价为固定包干价格，包括但不限于服装的供货、包装、运输、</w:t>
      </w:r>
      <w:r>
        <w:rPr>
          <w:rFonts w:hint="eastAsia" w:ascii="宋体" w:hAnsi="宋体" w:eastAsia="宋体" w:cs="宋体"/>
          <w:bCs/>
          <w:color w:val="auto"/>
          <w:sz w:val="24"/>
          <w:szCs w:val="24"/>
          <w:highlight w:val="none"/>
        </w:rPr>
        <w:t>售后服务（</w:t>
      </w:r>
      <w:r>
        <w:rPr>
          <w:rFonts w:hint="eastAsia" w:ascii="宋体" w:hAnsi="宋体" w:eastAsia="宋体" w:cs="宋体"/>
          <w:color w:val="auto"/>
          <w:sz w:val="24"/>
          <w:szCs w:val="24"/>
          <w:highlight w:val="none"/>
        </w:rPr>
        <w:t>修补、更换</w:t>
      </w:r>
      <w:r>
        <w:rPr>
          <w:rFonts w:hint="eastAsia" w:ascii="宋体" w:hAnsi="宋体" w:eastAsia="宋体" w:cs="宋体"/>
          <w:bCs/>
          <w:color w:val="auto"/>
          <w:sz w:val="24"/>
          <w:szCs w:val="24"/>
          <w:highlight w:val="none"/>
        </w:rPr>
        <w:t>）</w:t>
      </w:r>
      <w:r>
        <w:rPr>
          <w:rFonts w:hint="eastAsia" w:ascii="宋体" w:hAnsi="宋体" w:eastAsia="宋体" w:cs="宋体"/>
          <w:color w:val="auto"/>
          <w:sz w:val="24"/>
          <w:szCs w:val="24"/>
          <w:highlight w:val="none"/>
        </w:rPr>
        <w:t>、人工、质检、税费等与完成服装交付的所有费用。</w:t>
      </w:r>
    </w:p>
    <w:p>
      <w:pPr>
        <w:pStyle w:val="2"/>
        <w:ind w:firstLine="632"/>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2.学生在现场可选择微信、支付宝等非现金形式或现金形式支付</w:t>
      </w:r>
      <w:r>
        <w:rPr>
          <w:rFonts w:hint="eastAsia" w:ascii="宋体" w:hAnsi="宋体" w:eastAsia="宋体" w:cs="宋体"/>
          <w:color w:val="auto"/>
          <w:sz w:val="24"/>
          <w:szCs w:val="24"/>
          <w:highlight w:val="none"/>
          <w:lang w:eastAsia="zh-CN"/>
        </w:rPr>
        <w:t>。</w:t>
      </w:r>
    </w:p>
    <w:p>
      <w:pPr>
        <w:autoSpaceDE w:val="0"/>
        <w:autoSpaceDN w:val="0"/>
        <w:adjustRightInd w:val="0"/>
        <w:spacing w:line="400" w:lineRule="exact"/>
        <w:ind w:firstLine="482" w:firstLineChars="200"/>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六、质量及供货渠道要求</w:t>
      </w:r>
    </w:p>
    <w:p>
      <w:pPr>
        <w:pStyle w:val="8"/>
        <w:spacing w:line="400" w:lineRule="exact"/>
        <w:ind w:firstLine="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1.乙方应保证服装是全新、未使用过的原装合格正品。尺寸符合国家标准，穿着后无皮肤过敏等问题。</w:t>
      </w:r>
    </w:p>
    <w:p>
      <w:pPr>
        <w:pStyle w:val="2"/>
        <w:ind w:firstLine="63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乙方提供的服装必须符合本项目招标文件规定的质量、规格的要求。如果乙方提供的服装的质量或规格与招标文件和乙方的投标文件不符，或证实服装是有缺陷的，包括潜在的缺陷等，乙方应在接到甲方通知后12小时内历天内完成换货，因换货产生的费用由乙方承担，如因不合格服装给甲方及学生造成损失，</w:t>
      </w:r>
      <w:r>
        <w:rPr>
          <w:rFonts w:hint="eastAsia" w:ascii="宋体" w:hAnsi="宋体" w:eastAsia="宋体" w:cs="宋体"/>
          <w:color w:val="auto"/>
          <w:sz w:val="24"/>
          <w:szCs w:val="24"/>
          <w:highlight w:val="none"/>
          <w:lang w:val="en-US" w:eastAsia="zh-CN"/>
        </w:rPr>
        <w:t>乙方</w:t>
      </w:r>
      <w:r>
        <w:rPr>
          <w:rFonts w:hint="eastAsia" w:ascii="宋体" w:hAnsi="宋体" w:eastAsia="宋体" w:cs="宋体"/>
          <w:color w:val="auto"/>
          <w:sz w:val="24"/>
          <w:szCs w:val="24"/>
          <w:highlight w:val="none"/>
        </w:rPr>
        <w:t>还应承担赔偿责任。因服装质量问题产生的质监处罚、医疗缺陷和医疗纠纷</w:t>
      </w:r>
      <w:r>
        <w:rPr>
          <w:rFonts w:hint="eastAsia" w:ascii="宋体" w:hAnsi="宋体" w:eastAsia="宋体" w:cs="宋体"/>
          <w:color w:val="auto"/>
          <w:sz w:val="24"/>
          <w:szCs w:val="24"/>
          <w:highlight w:val="none"/>
          <w:lang w:val="en-US" w:eastAsia="zh-CN"/>
        </w:rPr>
        <w:t>等问题</w:t>
      </w:r>
      <w:r>
        <w:rPr>
          <w:rFonts w:hint="eastAsia" w:ascii="宋体" w:hAnsi="宋体" w:eastAsia="宋体" w:cs="宋体"/>
          <w:color w:val="auto"/>
          <w:sz w:val="24"/>
          <w:szCs w:val="24"/>
          <w:highlight w:val="none"/>
        </w:rPr>
        <w:t>均由</w:t>
      </w:r>
      <w:r>
        <w:rPr>
          <w:rFonts w:hint="eastAsia" w:ascii="宋体" w:hAnsi="宋体" w:eastAsia="宋体" w:cs="宋体"/>
          <w:color w:val="auto"/>
          <w:sz w:val="24"/>
          <w:szCs w:val="24"/>
          <w:highlight w:val="none"/>
          <w:lang w:val="en-US" w:eastAsia="zh-CN"/>
        </w:rPr>
        <w:t>乙方</w:t>
      </w:r>
      <w:r>
        <w:rPr>
          <w:rFonts w:hint="eastAsia" w:ascii="宋体" w:hAnsi="宋体" w:eastAsia="宋体" w:cs="宋体"/>
          <w:color w:val="auto"/>
          <w:sz w:val="24"/>
          <w:szCs w:val="24"/>
          <w:highlight w:val="none"/>
        </w:rPr>
        <w:t>负全部经济和法律责任。</w:t>
      </w:r>
    </w:p>
    <w:p>
      <w:pPr>
        <w:autoSpaceDE w:val="0"/>
        <w:autoSpaceDN w:val="0"/>
        <w:adjustRightInd w:val="0"/>
        <w:spacing w:line="400" w:lineRule="exact"/>
        <w:ind w:firstLine="482" w:firstLineChars="200"/>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七、包装（方式）、运输要求</w:t>
      </w:r>
    </w:p>
    <w:p>
      <w:pPr>
        <w:autoSpaceDE w:val="0"/>
        <w:autoSpaceDN w:val="0"/>
        <w:adjustRightInd w:val="0"/>
        <w:spacing w:line="400" w:lineRule="exact"/>
        <w:ind w:firstLine="480" w:firstLineChars="200"/>
        <w:jc w:val="left"/>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（1）乙方严格按照甲方送货要求按时、按质、按量配送服装，送达甲方指定地点后负责服装的发放。</w:t>
      </w:r>
    </w:p>
    <w:p>
      <w:pPr>
        <w:autoSpaceDE w:val="0"/>
        <w:autoSpaceDN w:val="0"/>
        <w:adjustRightInd w:val="0"/>
        <w:spacing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（2）甲方如有紧急配送需求时，乙方应积极配合供货，并按时、按质、按量配送服装。</w:t>
      </w:r>
    </w:p>
    <w:p>
      <w:pPr>
        <w:autoSpaceDE w:val="0"/>
        <w:autoSpaceDN w:val="0"/>
        <w:adjustRightInd w:val="0"/>
        <w:spacing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（3）甲方有调、换货需求时，乙方应积极配合调、换货，按时、按质、按量配送服装。</w:t>
      </w:r>
    </w:p>
    <w:p>
      <w:pPr>
        <w:pStyle w:val="8"/>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（4）若服装有质量问题的，</w:t>
      </w:r>
      <w:r>
        <w:rPr>
          <w:rFonts w:hint="eastAsia" w:ascii="宋体" w:hAnsi="宋体" w:eastAsia="宋体" w:cs="宋体"/>
          <w:color w:val="auto"/>
          <w:sz w:val="24"/>
          <w:szCs w:val="24"/>
          <w:highlight w:val="none"/>
          <w:lang w:val="en-US" w:eastAsia="zh-CN"/>
        </w:rPr>
        <w:t>乙方</w:t>
      </w:r>
      <w:r>
        <w:rPr>
          <w:rFonts w:hint="eastAsia" w:ascii="宋体" w:hAnsi="宋体" w:eastAsia="宋体" w:cs="宋体"/>
          <w:color w:val="auto"/>
          <w:sz w:val="24"/>
          <w:szCs w:val="24"/>
          <w:highlight w:val="none"/>
        </w:rPr>
        <w:t>应无条件更换。</w:t>
      </w:r>
    </w:p>
    <w:p>
      <w:pPr>
        <w:autoSpaceDE w:val="0"/>
        <w:autoSpaceDN w:val="0"/>
        <w:adjustRightInd w:val="0"/>
        <w:spacing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（5）服装必须标明：产品型号、规格、原料成份和材质含量及等级。</w:t>
      </w:r>
    </w:p>
    <w:p>
      <w:pPr>
        <w:autoSpaceDE w:val="0"/>
        <w:autoSpaceDN w:val="0"/>
        <w:adjustRightInd w:val="0"/>
        <w:spacing w:line="400" w:lineRule="exact"/>
        <w:ind w:firstLine="482" w:firstLineChars="200"/>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八、售后服务及要求</w:t>
      </w:r>
    </w:p>
    <w:p>
      <w:pPr>
        <w:pStyle w:val="8"/>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（1）.学生购买服装之日起15日内若出现服装破损、褪色或学生皮肤不适等情况，乙方在接到甲方通知后12小时内完成修补或替换。</w:t>
      </w:r>
    </w:p>
    <w:p>
      <w:pPr>
        <w:autoSpaceDE w:val="0"/>
        <w:autoSpaceDN w:val="0"/>
        <w:adjustRightInd w:val="0"/>
        <w:spacing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（2）当批次服装发放完毕后，乙方提供10%的备货，存放在甲方指定地点，便于甲方临时补发，备货服装费按实际发生量结合成交单价在军训结束后结算。</w:t>
      </w:r>
    </w:p>
    <w:p>
      <w:pPr>
        <w:autoSpaceDE w:val="0"/>
        <w:autoSpaceDN w:val="0"/>
        <w:adjustRightInd w:val="0"/>
        <w:spacing w:line="400" w:lineRule="exact"/>
        <w:ind w:firstLine="480" w:firstLineChars="200"/>
        <w:jc w:val="left"/>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（3）乙方为本项目配置的人员不少于15人。</w:t>
      </w:r>
    </w:p>
    <w:p>
      <w:pPr>
        <w:autoSpaceDE w:val="0"/>
        <w:autoSpaceDN w:val="0"/>
        <w:adjustRightInd w:val="0"/>
        <w:spacing w:line="400" w:lineRule="exact"/>
        <w:ind w:firstLine="482" w:firstLineChars="200"/>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九、其他商务要求</w:t>
      </w:r>
    </w:p>
    <w:p>
      <w:pPr>
        <w:autoSpaceDE w:val="0"/>
        <w:autoSpaceDN w:val="0"/>
        <w:adjustRightInd w:val="0"/>
        <w:spacing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如因乙方工作人员在履行职务过程中的的疏忽、失职、过错等故意或者过失原因给甲方造成损失或侵害，包括但不限于甲方本身的财产损失、由此而导致的甲方对任何第三方的法律责任等，乙方对此均应承担全部的赔偿责任。</w:t>
      </w:r>
    </w:p>
    <w:p>
      <w:pPr>
        <w:autoSpaceDE w:val="0"/>
        <w:autoSpaceDN w:val="0"/>
        <w:adjustRightInd w:val="0"/>
        <w:spacing w:line="400" w:lineRule="exact"/>
        <w:ind w:firstLine="482" w:firstLineChars="200"/>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十、双方的权利和义务</w:t>
      </w:r>
    </w:p>
    <w:p>
      <w:pPr>
        <w:autoSpaceDE w:val="0"/>
        <w:autoSpaceDN w:val="0"/>
        <w:adjustRightInd w:val="0"/>
        <w:spacing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（一）甲方的权利和义务：</w:t>
      </w:r>
    </w:p>
    <w:p>
      <w:pPr>
        <w:autoSpaceDE w:val="0"/>
        <w:autoSpaceDN w:val="0"/>
        <w:adjustRightInd w:val="0"/>
        <w:spacing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1.甲方有权对合同规定范围内乙方提供的物资、售后服务为进行监督和检查,拥有监管权。有权核对乙方提供的物资、售后服务质量。对甲方认为质量不合格的货物有权下达整改通知书,并要求乙方限期修理及更换。 </w:t>
      </w:r>
    </w:p>
    <w:p>
      <w:pPr>
        <w:autoSpaceDE w:val="0"/>
        <w:autoSpaceDN w:val="0"/>
        <w:adjustRightInd w:val="0"/>
        <w:spacing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2.负责检查监督乙方提供的物资、售后服务行为实施的执行情况。 </w:t>
      </w:r>
    </w:p>
    <w:p>
      <w:pPr>
        <w:autoSpaceDE w:val="0"/>
        <w:autoSpaceDN w:val="0"/>
        <w:adjustRightInd w:val="0"/>
        <w:spacing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3.国家法律、法规所规定由甲方承担的其它责任。</w:t>
      </w:r>
    </w:p>
    <w:p>
      <w:pPr>
        <w:autoSpaceDE w:val="0"/>
        <w:autoSpaceDN w:val="0"/>
        <w:adjustRightInd w:val="0"/>
        <w:spacing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（二）乙方的权利和义务</w:t>
      </w:r>
    </w:p>
    <w:p>
      <w:pPr>
        <w:autoSpaceDE w:val="0"/>
        <w:autoSpaceDN w:val="0"/>
        <w:adjustRightInd w:val="0"/>
        <w:spacing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1.依照本合同提供符合合同要求且能够满足甲方使用需求和使用目的的货物。</w:t>
      </w:r>
    </w:p>
    <w:p>
      <w:pPr>
        <w:autoSpaceDE w:val="0"/>
        <w:autoSpaceDN w:val="0"/>
        <w:adjustRightInd w:val="0"/>
        <w:spacing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2.接受项目行业管理部门及政府有关部门的指导，接受甲方的监督。</w:t>
      </w:r>
    </w:p>
    <w:p>
      <w:pPr>
        <w:autoSpaceDE w:val="0"/>
        <w:autoSpaceDN w:val="0"/>
        <w:adjustRightInd w:val="0"/>
        <w:spacing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3.履行本合同的全部安全责任均由乙方承担，甲方对此不承担任何责任。</w:t>
      </w:r>
    </w:p>
    <w:p>
      <w:pPr>
        <w:autoSpaceDE w:val="0"/>
        <w:autoSpaceDN w:val="0"/>
        <w:adjustRightInd w:val="0"/>
        <w:spacing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4.国家法律、法规所规定由乙方承担的其它责任。</w:t>
      </w:r>
    </w:p>
    <w:p>
      <w:pPr>
        <w:autoSpaceDE w:val="0"/>
        <w:autoSpaceDN w:val="0"/>
        <w:adjustRightInd w:val="0"/>
        <w:spacing w:line="400" w:lineRule="exact"/>
        <w:ind w:firstLine="482" w:firstLineChars="200"/>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十一、履约保证金要求</w:t>
      </w:r>
    </w:p>
    <w:p>
      <w:pPr>
        <w:autoSpaceDE w:val="0"/>
        <w:autoSpaceDN w:val="0"/>
        <w:adjustRightInd w:val="0"/>
        <w:spacing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履约保证金为</w:t>
      </w:r>
      <w:r>
        <w:rPr>
          <w:rFonts w:hint="eastAsia" w:ascii="宋体" w:hAnsi="宋体" w:eastAsia="宋体" w:cs="宋体"/>
          <w:color w:val="auto"/>
          <w:sz w:val="24"/>
          <w:szCs w:val="24"/>
          <w:highlight w:val="none"/>
          <w:lang w:val="en-US" w:eastAsia="zh-CN"/>
        </w:rPr>
        <w:t>30000</w:t>
      </w:r>
      <w:r>
        <w:rPr>
          <w:rFonts w:hint="eastAsia" w:ascii="宋体" w:hAnsi="宋体" w:eastAsia="宋体" w:cs="宋体"/>
          <w:color w:val="auto"/>
          <w:sz w:val="24"/>
          <w:szCs w:val="24"/>
          <w:highlight w:val="none"/>
        </w:rPr>
        <w:t>元，（大写：人民币</w:t>
      </w:r>
      <w:r>
        <w:rPr>
          <w:rFonts w:hint="eastAsia" w:ascii="宋体" w:hAnsi="宋体" w:eastAsia="宋体" w:cs="宋体"/>
          <w:color w:val="auto"/>
          <w:sz w:val="24"/>
          <w:szCs w:val="24"/>
          <w:highlight w:val="none"/>
          <w:lang w:eastAsia="zh-CN"/>
        </w:rPr>
        <w:t>叁万</w:t>
      </w:r>
      <w:r>
        <w:rPr>
          <w:rFonts w:hint="eastAsia" w:ascii="宋体" w:hAnsi="宋体" w:eastAsia="宋体" w:cs="宋体"/>
          <w:color w:val="auto"/>
          <w:sz w:val="24"/>
          <w:szCs w:val="24"/>
          <w:highlight w:val="none"/>
        </w:rPr>
        <w:t>元整），乙方应在中标通知书发出之日起至合同签订前以银行转账</w:t>
      </w:r>
      <w:r>
        <w:rPr>
          <w:rFonts w:hint="eastAsia" w:ascii="宋体" w:hAnsi="宋体" w:eastAsia="宋体" w:cs="宋体"/>
          <w:color w:val="auto"/>
          <w:sz w:val="24"/>
          <w:szCs w:val="24"/>
          <w:highlight w:val="none"/>
          <w:lang w:val="en-US" w:eastAsia="zh-CN"/>
        </w:rPr>
        <w:t>的</w:t>
      </w:r>
      <w:r>
        <w:rPr>
          <w:rFonts w:hint="eastAsia" w:ascii="宋体" w:hAnsi="宋体" w:eastAsia="宋体" w:cs="宋体"/>
          <w:color w:val="auto"/>
          <w:sz w:val="24"/>
          <w:szCs w:val="24"/>
          <w:highlight w:val="none"/>
        </w:rPr>
        <w:t>形式向</w:t>
      </w: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rPr>
        <w:t>提交履约保证金。</w:t>
      </w:r>
    </w:p>
    <w:p>
      <w:pPr>
        <w:autoSpaceDE w:val="0"/>
        <w:autoSpaceDN w:val="0"/>
        <w:adjustRightInd w:val="0"/>
        <w:spacing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履行合同约定(含售后服务)完毕且货物以及售后服务全部验收合格后，无质量问题和违约责任的情况下。10个日历天内无息退还乙方应退部分履约保证金。因甲方原因逾期退还的，应当以未退还金额为基数，按合同订立时1年期贷款市场报价利率标准向乙方支付相应违约金，但违约金最高不得超过未退还金额的百分之二十。若因乙方不及时或未提供“收到退还履约保证金的收据”、“履约保证金退还申请”的，则甲方不承担逾期退还违约责任。</w:t>
      </w:r>
    </w:p>
    <w:p>
      <w:pPr>
        <w:autoSpaceDE w:val="0"/>
        <w:autoSpaceDN w:val="0"/>
        <w:adjustRightInd w:val="0"/>
        <w:spacing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3.履约保证金汇入的银行及账号：</w:t>
      </w:r>
    </w:p>
    <w:p>
      <w:pPr>
        <w:autoSpaceDE w:val="0"/>
        <w:autoSpaceDN w:val="0"/>
        <w:adjustRightInd w:val="0"/>
        <w:spacing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收款账号：成都市技师学院</w:t>
      </w:r>
    </w:p>
    <w:p>
      <w:pPr>
        <w:autoSpaceDE w:val="0"/>
        <w:autoSpaceDN w:val="0"/>
        <w:adjustRightInd w:val="0"/>
        <w:spacing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开户行：工行四川成都红光支行</w:t>
      </w:r>
    </w:p>
    <w:p>
      <w:pPr>
        <w:autoSpaceDE w:val="0"/>
        <w:autoSpaceDN w:val="0"/>
        <w:adjustRightInd w:val="0"/>
        <w:spacing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银行账号：4402054609100031151</w:t>
      </w:r>
    </w:p>
    <w:p>
      <w:pPr>
        <w:autoSpaceDE w:val="0"/>
        <w:autoSpaceDN w:val="0"/>
        <w:adjustRightInd w:val="0"/>
        <w:spacing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履约保证金不予退还情形:一是乙方未按合同要求履行的，其履约保证金全部扣除。二是乙方缴纳了履约保证金，但因自身原因被取消成交资格或在成交公示期满之日起30个日历天(含法定节假日)内乙方不按招标文件确定的事项与甲方签订合同的，其履约保证金不予退还。三是法律法规或合同约定的其他情形。</w:t>
      </w:r>
    </w:p>
    <w:p>
      <w:pPr>
        <w:autoSpaceDE w:val="0"/>
        <w:autoSpaceDN w:val="0"/>
        <w:adjustRightInd w:val="0"/>
        <w:spacing w:line="400" w:lineRule="exact"/>
        <w:ind w:firstLine="482" w:firstLineChars="200"/>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十二、验收、交付标准和方法</w:t>
      </w:r>
    </w:p>
    <w:p>
      <w:pPr>
        <w:autoSpaceDE w:val="0"/>
        <w:autoSpaceDN w:val="0"/>
        <w:adjustRightInd w:val="0"/>
        <w:spacing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1.验收的主体：甲方</w:t>
      </w:r>
    </w:p>
    <w:p>
      <w:pPr>
        <w:autoSpaceDE w:val="0"/>
        <w:autoSpaceDN w:val="0"/>
        <w:adjustRightInd w:val="0"/>
        <w:spacing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2.验收时间及程序：</w:t>
      </w:r>
    </w:p>
    <w:p>
      <w:pPr>
        <w:autoSpaceDE w:val="0"/>
        <w:autoSpaceDN w:val="0"/>
        <w:adjustRightInd w:val="0"/>
        <w:spacing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（1）货物验收：乙方将当批次服装送达指定地点的当天，甲方随机抽取10％进行验收。</w:t>
      </w:r>
    </w:p>
    <w:p>
      <w:pPr>
        <w:autoSpaceDE w:val="0"/>
        <w:autoSpaceDN w:val="0"/>
        <w:adjustRightInd w:val="0"/>
        <w:spacing w:line="400" w:lineRule="exact"/>
        <w:ind w:firstLine="480" w:firstLineChars="200"/>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（2）售后服务验收：当批次服装售后服务期结束，自甲方收到售后服务验收申请之日起5个工作日内组织验收</w:t>
      </w:r>
      <w:r>
        <w:rPr>
          <w:rFonts w:hint="eastAsia" w:ascii="宋体" w:hAnsi="宋体" w:eastAsia="宋体" w:cs="宋体"/>
          <w:color w:val="auto"/>
          <w:sz w:val="24"/>
          <w:szCs w:val="24"/>
          <w:highlight w:val="none"/>
          <w:lang w:eastAsia="zh-CN"/>
        </w:rPr>
        <w:t>。</w:t>
      </w:r>
    </w:p>
    <w:p>
      <w:pPr>
        <w:autoSpaceDE w:val="0"/>
        <w:autoSpaceDN w:val="0"/>
        <w:adjustRightInd w:val="0"/>
        <w:spacing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3.验收方式：单位内部验收</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 xml:space="preserve"> </w:t>
      </w:r>
    </w:p>
    <w:p>
      <w:pPr>
        <w:autoSpaceDE w:val="0"/>
        <w:autoSpaceDN w:val="0"/>
        <w:adjustRightInd w:val="0"/>
        <w:spacing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4.验收的内容：</w:t>
      </w:r>
    </w:p>
    <w:p>
      <w:pPr>
        <w:autoSpaceDE w:val="0"/>
        <w:autoSpaceDN w:val="0"/>
        <w:adjustRightInd w:val="0"/>
        <w:spacing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（1）验收内容包括品牌、型号、数量、外观等每一项技术和商务要求（不含售后服务）的履约情况；</w:t>
      </w:r>
    </w:p>
    <w:p>
      <w:pPr>
        <w:autoSpaceDE w:val="0"/>
        <w:autoSpaceDN w:val="0"/>
        <w:adjustRightInd w:val="0"/>
        <w:spacing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（2）售后服务验收内容包括售后服务要求中每一项要求的履约情况。</w:t>
      </w:r>
    </w:p>
    <w:p>
      <w:pPr>
        <w:autoSpaceDE w:val="0"/>
        <w:autoSpaceDN w:val="0"/>
        <w:adjustRightInd w:val="0"/>
        <w:spacing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5.验收标准：按国家有关规定以及甲方招标文件的质量要求和技术指标、乙方的投标文件及承诺与本合同约定标准进行验收；其他未尽事宜应参照《财政部关于进一步加强政府采购需求和履约验收管理的指导意见》(财库〔2016〕205号)的要求进行验收。</w:t>
      </w:r>
    </w:p>
    <w:p>
      <w:pPr>
        <w:autoSpaceDE w:val="0"/>
        <w:autoSpaceDN w:val="0"/>
        <w:spacing w:line="400" w:lineRule="exact"/>
        <w:ind w:firstLine="552"/>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6.交付标准和方法：乙方按合同约定提供服装和售后服务且该批次验收合格，视为乙方完成当批次服装的交付。</w:t>
      </w:r>
    </w:p>
    <w:p>
      <w:pPr>
        <w:autoSpaceDE w:val="0"/>
        <w:autoSpaceDN w:val="0"/>
        <w:adjustRightInd w:val="0"/>
        <w:spacing w:line="400" w:lineRule="exact"/>
        <w:ind w:firstLine="482" w:firstLineChars="200"/>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十三、解决争议的方法</w:t>
      </w:r>
    </w:p>
    <w:p>
      <w:pPr>
        <w:autoSpaceDE w:val="0"/>
        <w:autoSpaceDN w:val="0"/>
        <w:adjustRightInd w:val="0"/>
        <w:spacing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1.因质量问题发生争议，由双方协商确定第三方机构进行质量鉴定。质量符合标准的，鉴定费由甲方承担；不符合质量标准的，鉴定费由乙方承担。 </w:t>
      </w:r>
    </w:p>
    <w:p>
      <w:pPr>
        <w:autoSpaceDE w:val="0"/>
        <w:autoSpaceDN w:val="0"/>
        <w:adjustRightInd w:val="0"/>
        <w:spacing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2.履约期间,若双方发生争议，双方应通过友好协商解决，经协商不能达成协议时，应提交甲方所在地的人民法院诉讼。在诉讼期间，除正在进行诉讼的部分外，合同其他部分继续执行。</w:t>
      </w:r>
    </w:p>
    <w:p>
      <w:pPr>
        <w:autoSpaceDE w:val="0"/>
        <w:autoSpaceDN w:val="0"/>
        <w:adjustRightInd w:val="0"/>
        <w:spacing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3.除判决另有规定外，一切涉诉合理费用均由违约方承担。</w:t>
      </w:r>
    </w:p>
    <w:p>
      <w:pPr>
        <w:autoSpaceDE w:val="0"/>
        <w:autoSpaceDN w:val="0"/>
        <w:adjustRightInd w:val="0"/>
        <w:spacing w:line="400" w:lineRule="exact"/>
        <w:ind w:firstLine="482" w:firstLineChars="200"/>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十四、知识产权</w:t>
      </w:r>
    </w:p>
    <w:p>
      <w:pPr>
        <w:autoSpaceDE w:val="0"/>
        <w:autoSpaceDN w:val="0"/>
        <w:adjustRightInd w:val="0"/>
        <w:spacing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乙方应保证在本项目中使用的任何产品和服务，不会产生因第三方提出侵犯其专利权、商标权或其它知识产权而引起的法律和经济纠纷，如因专利权、商标权或其它知识产权而引起法律和经济纠纷，由乙方承担所有相关责任。甲方因此遭受的损失（包括但不限于因此向第三方支付的赔偿金、违约金等，以及因此支出的诉讼费用、律师费、保全费等）均由乙方承担。</w:t>
      </w:r>
    </w:p>
    <w:p>
      <w:pPr>
        <w:autoSpaceDE w:val="0"/>
        <w:autoSpaceDN w:val="0"/>
        <w:adjustRightInd w:val="0"/>
        <w:spacing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2.履行本合同产生的知识产权均归甲方所有。</w:t>
      </w:r>
    </w:p>
    <w:p>
      <w:pPr>
        <w:autoSpaceDE w:val="0"/>
        <w:autoSpaceDN w:val="0"/>
        <w:adjustRightInd w:val="0"/>
        <w:spacing w:line="400" w:lineRule="exact"/>
        <w:ind w:firstLine="482" w:firstLineChars="200"/>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十五、合同的变更和终止</w:t>
      </w:r>
    </w:p>
    <w:p>
      <w:pPr>
        <w:autoSpaceDE w:val="0"/>
        <w:autoSpaceDN w:val="0"/>
        <w:adjustRightInd w:val="0"/>
        <w:spacing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合同继续履行将损害国家利益和社会公共利益的，双方当事人应当变更、中止或者终止合同。有过错的一方应当承担赔偿责任，双方都有过错的，各自承担相应的责任。</w:t>
      </w:r>
    </w:p>
    <w:p>
      <w:pPr>
        <w:autoSpaceDE w:val="0"/>
        <w:autoSpaceDN w:val="0"/>
        <w:adjustRightInd w:val="0"/>
        <w:spacing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除以上两条规定的情形外，本合同一经签订，甲乙双方不得擅自变更、中止或终止合同。</w:t>
      </w:r>
    </w:p>
    <w:p>
      <w:pPr>
        <w:autoSpaceDE w:val="0"/>
        <w:autoSpaceDN w:val="0"/>
        <w:adjustRightInd w:val="0"/>
        <w:spacing w:line="400" w:lineRule="exact"/>
        <w:ind w:firstLine="482" w:firstLineChars="200"/>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十六、合同的分包和转让</w:t>
      </w:r>
    </w:p>
    <w:p>
      <w:pPr>
        <w:autoSpaceDE w:val="0"/>
        <w:autoSpaceDN w:val="0"/>
        <w:adjustRightInd w:val="0"/>
        <w:spacing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1.乙方不得部分或全部转让其应履行的合同义务；</w:t>
      </w:r>
    </w:p>
    <w:p>
      <w:pPr>
        <w:autoSpaceDE w:val="0"/>
        <w:autoSpaceDN w:val="0"/>
        <w:adjustRightInd w:val="0"/>
        <w:spacing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2.乙方不得分包。</w:t>
      </w:r>
    </w:p>
    <w:p>
      <w:pPr>
        <w:autoSpaceDE w:val="0"/>
        <w:autoSpaceDN w:val="0"/>
        <w:adjustRightInd w:val="0"/>
        <w:spacing w:line="400" w:lineRule="exact"/>
        <w:ind w:firstLine="482" w:firstLineChars="200"/>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十七、违约责任</w:t>
      </w:r>
    </w:p>
    <w:p>
      <w:pPr>
        <w:autoSpaceDE w:val="0"/>
        <w:autoSpaceDN w:val="0"/>
        <w:adjustRightInd w:val="0"/>
        <w:spacing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（1）甲方违约责任</w:t>
      </w:r>
    </w:p>
    <w:p>
      <w:pPr>
        <w:autoSpaceDE w:val="0"/>
        <w:autoSpaceDN w:val="0"/>
        <w:adjustRightInd w:val="0"/>
        <w:spacing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甲方无正当理由拒收服装的，甲方应支付5000元的违约金；</w:t>
      </w:r>
    </w:p>
    <w:p>
      <w:pPr>
        <w:autoSpaceDE w:val="0"/>
        <w:autoSpaceDN w:val="0"/>
        <w:adjustRightInd w:val="0"/>
        <w:spacing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（2）乙方违约责任</w:t>
      </w:r>
    </w:p>
    <w:p>
      <w:pPr>
        <w:autoSpaceDE w:val="0"/>
        <w:autoSpaceDN w:val="0"/>
        <w:adjustRightInd w:val="0"/>
        <w:spacing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乙方交付的服装质量不符招标文件和投标文件规定的，乙方应在招标文件规定的时间内更换合格的服装给甲方，否则，视作乙方不能交付货而违约，按本条本款下述第“2”项规定由乙方支付违约赔偿金给甲方。</w:t>
      </w:r>
    </w:p>
    <w:p>
      <w:pPr>
        <w:adjustRightInd w:val="0"/>
        <w:snapToGrid w:val="0"/>
        <w:spacing w:line="44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乙方不能交付服装或逾期交付服装而违约的，除应及时按质、按量配送服装外，还应按3000元/天向甲方支付违约金；逾期交货超过2日历天，甲方有权终止合同并要求乙方偿付20000元赔偿金，并且甲方不予退还乙方履约保证金。</w:t>
      </w:r>
    </w:p>
    <w:p>
      <w:pPr>
        <w:adjustRightInd w:val="0"/>
        <w:snapToGrid w:val="0"/>
        <w:spacing w:line="44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3、乙方服装经甲方送交具有法定资格条件的质量技术监督机构检测后，如检测结果认定服装质量不符合招标文件和乙方投标文件规定标准的，则视为乙方没有按时交服装而违约，乙方须在</w:t>
      </w:r>
      <w:r>
        <w:rPr>
          <w:rFonts w:hint="eastAsia" w:ascii="宋体" w:hAnsi="宋体" w:eastAsia="宋体" w:cs="宋体"/>
          <w:color w:val="auto"/>
          <w:sz w:val="24"/>
          <w:szCs w:val="24"/>
          <w:highlight w:val="none"/>
          <w:lang w:val="en-US" w:eastAsia="zh-CN"/>
        </w:rPr>
        <w:t>12小时内</w:t>
      </w:r>
      <w:r>
        <w:rPr>
          <w:rFonts w:hint="eastAsia" w:ascii="宋体" w:hAnsi="宋体" w:eastAsia="宋体" w:cs="宋体"/>
          <w:color w:val="auto"/>
          <w:sz w:val="24"/>
          <w:szCs w:val="24"/>
          <w:highlight w:val="none"/>
        </w:rPr>
        <w:t>无条件更换合格的服装，如逾期不能更换合格的服装，甲方有权终止合同并要求乙方向甲方偿付20000元的赔偿金，并且甲方不予退还乙方履约保证金。</w:t>
      </w:r>
    </w:p>
    <w:p>
      <w:pPr>
        <w:autoSpaceDE w:val="0"/>
        <w:autoSpaceDN w:val="0"/>
        <w:adjustRightInd w:val="0"/>
        <w:spacing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乙方未按招标文件和乙方的投标文件约定的时间及要求提供售后服务的，应按1000元/次向甲方支付违约金。超过两次（含），甲方有权聘请第三方提供服务，由此产生的费用全部由乙方承担，并且甲方不予退还乙方履约保证金。</w:t>
      </w:r>
    </w:p>
    <w:p>
      <w:pPr>
        <w:autoSpaceDE w:val="0"/>
        <w:autoSpaceDN w:val="0"/>
        <w:adjustRightInd w:val="0"/>
        <w:spacing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乙方偿付的违约金不足以弥补甲方损失的，还应按甲方损失尚未弥补的部分，支付赔偿金给甲方，损失包括但不限于律师费、诉讼费、仲裁费、保全费、执行费、差旅费及其它实现权利的费用等。甲方有权在乙方未支付或逾期支付违约金时，从乙方缴纳的履约保证金中扣除相应金额，不足部分有权继续向乙方追偿。</w:t>
      </w:r>
    </w:p>
    <w:p>
      <w:pPr>
        <w:autoSpaceDE w:val="0"/>
        <w:autoSpaceDN w:val="0"/>
        <w:adjustRightInd w:val="0"/>
        <w:spacing w:line="400" w:lineRule="exact"/>
        <w:ind w:firstLine="482" w:firstLineChars="200"/>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xml:space="preserve">十八、组成本合同的有关文件 </w:t>
      </w:r>
    </w:p>
    <w:p>
      <w:pPr>
        <w:autoSpaceDE w:val="0"/>
        <w:autoSpaceDN w:val="0"/>
        <w:adjustRightInd w:val="0"/>
        <w:spacing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下列关于成都市技师学院（成都工贸职业技术学院）</w:t>
      </w:r>
      <w:r>
        <w:rPr>
          <w:rFonts w:hint="eastAsia" w:ascii="宋体" w:hAnsi="宋体" w:eastAsia="宋体" w:cs="宋体"/>
          <w:color w:val="auto"/>
          <w:sz w:val="24"/>
          <w:szCs w:val="24"/>
          <w:highlight w:val="none"/>
          <w:lang w:eastAsia="zh-CN"/>
        </w:rPr>
        <w:t>202</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eastAsia="zh-CN"/>
        </w:rPr>
        <w:t>级</w:t>
      </w:r>
      <w:r>
        <w:rPr>
          <w:rFonts w:hint="eastAsia" w:ascii="宋体" w:hAnsi="宋体" w:eastAsia="宋体" w:cs="宋体"/>
          <w:color w:val="auto"/>
          <w:sz w:val="24"/>
          <w:szCs w:val="24"/>
          <w:highlight w:val="none"/>
        </w:rPr>
        <w:t>学生军训服采购项目(项目编号：XXXX)的招标文件、乙方的投标文件或与本次采购活动方式相适应的文件及有关附件是本合同不可分割的组成部分，与本合同具有同等法律效力，这些文件包括但不限于：</w:t>
      </w:r>
    </w:p>
    <w:p>
      <w:pPr>
        <w:autoSpaceDE w:val="0"/>
        <w:autoSpaceDN w:val="0"/>
        <w:adjustRightInd w:val="0"/>
        <w:spacing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1.甲方的招标文件</w:t>
      </w:r>
    </w:p>
    <w:p>
      <w:pPr>
        <w:autoSpaceDE w:val="0"/>
        <w:autoSpaceDN w:val="0"/>
        <w:adjustRightInd w:val="0"/>
        <w:spacing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2.乙方的投标文件；</w:t>
      </w:r>
    </w:p>
    <w:p>
      <w:pPr>
        <w:autoSpaceDE w:val="0"/>
        <w:autoSpaceDN w:val="0"/>
        <w:adjustRightInd w:val="0"/>
        <w:spacing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3.中标通知书；</w:t>
      </w:r>
    </w:p>
    <w:p>
      <w:pPr>
        <w:autoSpaceDE w:val="0"/>
        <w:autoSpaceDN w:val="0"/>
        <w:adjustRightInd w:val="0"/>
        <w:spacing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4.本合同列出的附件。</w:t>
      </w:r>
    </w:p>
    <w:p>
      <w:pPr>
        <w:autoSpaceDE w:val="0"/>
        <w:autoSpaceDN w:val="0"/>
        <w:adjustRightInd w:val="0"/>
        <w:spacing w:line="400" w:lineRule="exact"/>
        <w:ind w:firstLine="482" w:firstLineChars="200"/>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十九、其他</w:t>
      </w:r>
    </w:p>
    <w:p>
      <w:pPr>
        <w:pStyle w:val="8"/>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1.乙方制定的项目实施方案和售后服务方案详见乙方投标文件。</w:t>
      </w:r>
    </w:p>
    <w:p>
      <w:pPr>
        <w:autoSpaceDE w:val="0"/>
        <w:autoSpaceDN w:val="0"/>
        <w:adjustRightInd w:val="0"/>
        <w:spacing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2.本合同自乙方缴纳履约保证金后，且合同经双方法定代表人或授权委托代理人签字并加盖单位章后生效。</w:t>
      </w:r>
    </w:p>
    <w:p>
      <w:pPr>
        <w:autoSpaceDE w:val="0"/>
        <w:autoSpaceDN w:val="0"/>
        <w:adjustRightInd w:val="0"/>
        <w:spacing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3.如有未尽事宜，由双方依法订立补充合同。</w:t>
      </w:r>
    </w:p>
    <w:p>
      <w:pPr>
        <w:autoSpaceDE w:val="0"/>
        <w:autoSpaceDN w:val="0"/>
        <w:adjustRightInd w:val="0"/>
        <w:spacing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4.本合同一式</w:t>
      </w:r>
      <w:r>
        <w:rPr>
          <w:rFonts w:hint="eastAsia" w:ascii="宋体" w:hAnsi="宋体" w:eastAsia="宋体" w:cs="宋体"/>
          <w:color w:val="auto"/>
          <w:sz w:val="24"/>
          <w:szCs w:val="24"/>
          <w:highlight w:val="none"/>
          <w:lang w:val="en-US" w:eastAsia="zh-CN"/>
        </w:rPr>
        <w:t>六</w:t>
      </w:r>
      <w:r>
        <w:rPr>
          <w:rFonts w:hint="eastAsia" w:ascii="宋体" w:hAnsi="宋体" w:eastAsia="宋体" w:cs="宋体"/>
          <w:color w:val="auto"/>
          <w:sz w:val="24"/>
          <w:szCs w:val="24"/>
          <w:highlight w:val="none"/>
        </w:rPr>
        <w:t>份，甲方</w:t>
      </w:r>
      <w:r>
        <w:rPr>
          <w:rFonts w:hint="eastAsia" w:ascii="宋体" w:hAnsi="宋体" w:eastAsia="宋体" w:cs="宋体"/>
          <w:color w:val="auto"/>
          <w:sz w:val="24"/>
          <w:szCs w:val="24"/>
          <w:highlight w:val="none"/>
          <w:lang w:val="en-US" w:eastAsia="zh-CN"/>
        </w:rPr>
        <w:t>五</w:t>
      </w:r>
      <w:r>
        <w:rPr>
          <w:rFonts w:hint="eastAsia" w:ascii="宋体" w:hAnsi="宋体" w:eastAsia="宋体" w:cs="宋体"/>
          <w:color w:val="auto"/>
          <w:sz w:val="24"/>
          <w:szCs w:val="24"/>
          <w:highlight w:val="none"/>
        </w:rPr>
        <w:t>份，乙方</w:t>
      </w:r>
      <w:r>
        <w:rPr>
          <w:rFonts w:hint="eastAsia" w:ascii="宋体" w:hAnsi="宋体" w:eastAsia="宋体" w:cs="宋体"/>
          <w:color w:val="auto"/>
          <w:sz w:val="24"/>
          <w:szCs w:val="24"/>
          <w:highlight w:val="none"/>
          <w:lang w:val="en-US" w:eastAsia="zh-CN"/>
        </w:rPr>
        <w:t>一</w:t>
      </w:r>
      <w:r>
        <w:rPr>
          <w:rFonts w:hint="eastAsia" w:ascii="宋体" w:hAnsi="宋体" w:eastAsia="宋体" w:cs="宋体"/>
          <w:color w:val="auto"/>
          <w:sz w:val="24"/>
          <w:szCs w:val="24"/>
          <w:highlight w:val="none"/>
        </w:rPr>
        <w:t>份，均具有同等法律效力。</w:t>
      </w:r>
    </w:p>
    <w:p>
      <w:pPr>
        <w:autoSpaceDE w:val="0"/>
        <w:autoSpaceDN w:val="0"/>
        <w:adjustRightInd w:val="0"/>
        <w:spacing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5.如本合同与甲方的招标文件、乙方的投标文件不一致时，以甲方的招标文件、乙方的投标文件为准。</w:t>
      </w:r>
    </w:p>
    <w:p>
      <w:pPr>
        <w:autoSpaceDE w:val="0"/>
        <w:autoSpaceDN w:val="0"/>
        <w:adjustRightInd w:val="0"/>
        <w:spacing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6.本合同应按照中华人民共和国的现行法律进行解释。</w:t>
      </w:r>
    </w:p>
    <w:p>
      <w:pPr>
        <w:autoSpaceDE w:val="0"/>
        <w:autoSpaceDN w:val="0"/>
        <w:adjustRightInd w:val="0"/>
        <w:spacing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(以下无正文)</w:t>
      </w:r>
    </w:p>
    <w:p>
      <w:pPr>
        <w:autoSpaceDE w:val="0"/>
        <w:autoSpaceDN w:val="0"/>
        <w:adjustRightInd w:val="0"/>
        <w:spacing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甲方：  （盖章）   </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t xml:space="preserve">      乙方：   （盖章）</w:t>
      </w:r>
    </w:p>
    <w:p>
      <w:pPr>
        <w:autoSpaceDE w:val="0"/>
        <w:autoSpaceDN w:val="0"/>
        <w:adjustRightInd w:val="0"/>
        <w:spacing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法定代表人（授权代表）：   法定代表人（授权代表）：</w:t>
      </w:r>
    </w:p>
    <w:p>
      <w:pPr>
        <w:autoSpaceDE w:val="0"/>
        <w:autoSpaceDN w:val="0"/>
        <w:adjustRightInd w:val="0"/>
        <w:spacing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    址：                地    址：</w:t>
      </w:r>
    </w:p>
    <w:p>
      <w:pPr>
        <w:autoSpaceDE w:val="0"/>
        <w:autoSpaceDN w:val="0"/>
        <w:adjustRightInd w:val="0"/>
        <w:spacing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开户银行：                开户银行：</w:t>
      </w:r>
    </w:p>
    <w:p>
      <w:pPr>
        <w:autoSpaceDE w:val="0"/>
        <w:autoSpaceDN w:val="0"/>
        <w:adjustRightInd w:val="0"/>
        <w:spacing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账    号：                账    号：</w:t>
      </w:r>
    </w:p>
    <w:p>
      <w:pPr>
        <w:autoSpaceDE w:val="0"/>
        <w:autoSpaceDN w:val="0"/>
        <w:adjustRightInd w:val="0"/>
        <w:spacing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    话：                电    话：</w:t>
      </w:r>
    </w:p>
    <w:p>
      <w:pPr>
        <w:autoSpaceDE w:val="0"/>
        <w:autoSpaceDN w:val="0"/>
        <w:adjustRightInd w:val="0"/>
        <w:spacing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传    真：                传    真：</w:t>
      </w:r>
    </w:p>
    <w:p>
      <w:pPr>
        <w:autoSpaceDE w:val="0"/>
        <w:autoSpaceDN w:val="0"/>
        <w:adjustRightInd w:val="0"/>
        <w:spacing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邮    箱：                邮    箱：</w:t>
      </w:r>
    </w:p>
    <w:p>
      <w:pPr>
        <w:autoSpaceDE w:val="0"/>
        <w:autoSpaceDN w:val="0"/>
        <w:adjustRightInd w:val="0"/>
        <w:spacing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签约日期：XX年XX月XX日    签约日期：XX年XX月XX日</w:t>
      </w:r>
    </w:p>
    <w:p>
      <w:pPr>
        <w:spacing w:line="240" w:lineRule="auto"/>
        <w:rPr>
          <w:rFonts w:hint="eastAsia" w:ascii="宋体" w:hAnsi="宋体" w:eastAsia="宋体" w:cs="宋体"/>
          <w:color w:val="auto"/>
          <w:sz w:val="22"/>
          <w:szCs w:val="22"/>
          <w:highlight w:val="none"/>
        </w:rPr>
      </w:pPr>
    </w:p>
    <w:sectPr>
      <w:headerReference r:id="rId45" w:type="default"/>
      <w:footerReference r:id="rId46" w:type="default"/>
      <w:type w:val="continuous"/>
      <w:pgSz w:w="11905" w:h="16838"/>
      <w:pgMar w:top="1417" w:right="1417" w:bottom="1417" w:left="1417" w:header="0" w:footer="1134" w:gutter="0"/>
      <w:cols w:space="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moder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楷体à.ā">
    <w:altName w:val="宋体"/>
    <w:panose1 w:val="00000000000000000000"/>
    <w:charset w:val="86"/>
    <w:family w:val="modern"/>
    <w:pitch w:val="default"/>
    <w:sig w:usb0="00000000" w:usb1="00000000" w:usb2="00000010" w:usb3="00000000" w:csb0="00040000" w:csb1="00000000"/>
  </w:font>
  <w:font w:name="Dutch801 Rm BT">
    <w:altName w:val="Times New Roman"/>
    <w:panose1 w:val="00000000000000000000"/>
    <w:charset w:val="00"/>
    <w:family w:val="roman"/>
    <w:pitch w:val="default"/>
    <w:sig w:usb0="00000000" w:usb1="00000000" w:usb2="00000000" w:usb3="00000000" w:csb0="0000001B"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rPr>
                              <w:rFonts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3</w:t>
                          </w:r>
                          <w:r>
                            <w:rPr>
                              <w:rFonts w:hint="eastAsia" w:ascii="宋体" w:hAnsi="宋体" w:eastAsia="宋体" w:cs="宋体"/>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pPr>
                      <w:pStyle w:val="11"/>
                      <w:rPr>
                        <w:rFonts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3</w:t>
                    </w:r>
                    <w:r>
                      <w:rPr>
                        <w:rFonts w:hint="eastAsia" w:ascii="宋体" w:hAnsi="宋体" w:eastAsia="宋体" w:cs="宋体"/>
                      </w:rP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96" w:lineRule="auto"/>
      <w:ind w:left="4075"/>
      <w:rPr>
        <w:rFonts w:ascii="Times New Roman" w:hAnsi="Times New Roman" w:eastAsia="Times New Roman" w:cs="Times New Roman"/>
        <w:sz w:val="17"/>
        <w:szCs w:val="17"/>
      </w:rPr>
    </w:pPr>
    <w:r>
      <w:rPr>
        <w:sz w:val="17"/>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31</w:t>
                          </w:r>
                          <w:r>
                            <w:rPr>
                              <w:rFonts w:hint="eastAsia" w:ascii="宋体" w:hAnsi="宋体" w:eastAsia="宋体" w:cs="宋体"/>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t2TVYrAgAAVw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7dk1WKwIAAFcEAAAOAAAAAAAAAAEAIAAAAB8BAABkcnMvZTJvRG9jLnhtbFBLBQYAAAAABgAG&#10;AFkBAAC8BQAAAAA=&#10;">
              <v:fill on="f" focussize="0,0"/>
              <v:stroke on="f" weight="0.5pt"/>
              <v:imagedata o:title=""/>
              <o:lock v:ext="edit" aspectratio="f"/>
              <v:textbox inset="0mm,0mm,0mm,0mm" style="mso-fit-shape-to-text:t;">
                <w:txbxContent>
                  <w:p>
                    <w:pPr>
                      <w:pStyle w:val="11"/>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31</w:t>
                    </w:r>
                    <w:r>
                      <w:rPr>
                        <w:rFonts w:hint="eastAsia" w:ascii="宋体" w:hAnsi="宋体" w:eastAsia="宋体" w:cs="宋体"/>
                      </w:rP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96" w:lineRule="auto"/>
      <w:ind w:left="3979"/>
      <w:rPr>
        <w:rFonts w:ascii="Times New Roman" w:hAnsi="Times New Roman" w:eastAsia="Times New Roman" w:cs="Times New Roman"/>
        <w:sz w:val="17"/>
        <w:szCs w:val="17"/>
      </w:rPr>
    </w:pPr>
    <w:r>
      <w:rPr>
        <w:sz w:val="17"/>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25</w:t>
                          </w:r>
                          <w:r>
                            <w:rPr>
                              <w:rFonts w:hint="eastAsia" w:ascii="宋体" w:hAnsi="宋体" w:eastAsia="宋体" w:cs="宋体"/>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11"/>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25</w:t>
                    </w:r>
                    <w:r>
                      <w:rPr>
                        <w:rFonts w:hint="eastAsia" w:ascii="宋体" w:hAnsi="宋体" w:eastAsia="宋体" w:cs="宋体"/>
                      </w:rP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96" w:lineRule="auto"/>
      <w:ind w:left="3979"/>
      <w:rPr>
        <w:rFonts w:ascii="Times New Roman" w:hAnsi="Times New Roman" w:eastAsia="Times New Roman" w:cs="Times New Roman"/>
        <w:sz w:val="17"/>
        <w:szCs w:val="17"/>
      </w:rPr>
    </w:pPr>
    <w:r>
      <w:rPr>
        <w:sz w:val="17"/>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26</w:t>
                          </w:r>
                          <w:r>
                            <w:rPr>
                              <w:rFonts w:hint="eastAsia" w:ascii="宋体" w:hAnsi="宋体" w:eastAsia="宋体" w:cs="宋体"/>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pPr>
                      <w:pStyle w:val="11"/>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26</w:t>
                    </w:r>
                    <w:r>
                      <w:rPr>
                        <w:rFonts w:hint="eastAsia" w:ascii="宋体" w:hAnsi="宋体" w:eastAsia="宋体" w:cs="宋体"/>
                      </w:rP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96" w:lineRule="auto"/>
      <w:ind w:left="3979"/>
      <w:rPr>
        <w:rFonts w:ascii="Times New Roman" w:hAnsi="Times New Roman" w:eastAsia="Times New Roman" w:cs="Times New Roman"/>
        <w:sz w:val="17"/>
        <w:szCs w:val="17"/>
      </w:rPr>
    </w:pPr>
    <w:r>
      <w:rPr>
        <w:sz w:val="17"/>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27</w:t>
                          </w:r>
                          <w:r>
                            <w:rPr>
                              <w:rFonts w:hint="eastAsia" w:ascii="宋体" w:hAnsi="宋体" w:eastAsia="宋体" w:cs="宋体"/>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svHiUtAgAAV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HsvHiUtAgAAVwQAAA4AAAAAAAAAAQAgAAAAHwEAAGRycy9lMm9Eb2MueG1sUEsFBgAAAAAG&#10;AAYAWQEAAL4FAAAAAA==&#10;">
              <v:fill on="f" focussize="0,0"/>
              <v:stroke on="f" weight="0.5pt"/>
              <v:imagedata o:title=""/>
              <o:lock v:ext="edit" aspectratio="f"/>
              <v:textbox inset="0mm,0mm,0mm,0mm" style="mso-fit-shape-to-text:t;">
                <w:txbxContent>
                  <w:p>
                    <w:pPr>
                      <w:pStyle w:val="11"/>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27</w:t>
                    </w:r>
                    <w:r>
                      <w:rPr>
                        <w:rFonts w:hint="eastAsia" w:ascii="宋体" w:hAnsi="宋体" w:eastAsia="宋体" w:cs="宋体"/>
                      </w:rP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96" w:lineRule="auto"/>
      <w:ind w:left="3979"/>
      <w:rPr>
        <w:rFonts w:ascii="Times New Roman" w:hAnsi="Times New Roman" w:eastAsia="Times New Roman" w:cs="Times New Roman"/>
        <w:sz w:val="17"/>
        <w:szCs w:val="17"/>
      </w:rPr>
    </w:pPr>
    <w:r>
      <w:rPr>
        <w:sz w:val="17"/>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33</w:t>
                          </w:r>
                          <w:r>
                            <w:rPr>
                              <w:rFonts w:hint="eastAsia" w:ascii="宋体" w:hAnsi="宋体" w:eastAsia="宋体" w:cs="宋体"/>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7HhYsAgAAVwQAAA4AAABkcnMvZTJvRG9jLnhtbK1UzY7TMBC+I/EO&#10;lu80aRFL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JbSjRTqPjpx/fT&#10;z4fTr28EZxCotX6GuHuLyNC9Mx2Ch3OPw8i7q5yKXzAi8EPe40Ve0QXC46XpZDrN4eLwDRvgZ4/X&#10;rfPhvTCKRKOgDvVLsrLDxoc+dAiJ2bRZN1KmGkpN2oJevX6T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0zseFiwCAABXBAAADgAAAAAAAAABACAAAAAfAQAAZHJzL2Uyb0RvYy54bWxQSwUGAAAAAAYA&#10;BgBZAQAAvQUAAAAA&#10;">
              <v:fill on="f" focussize="0,0"/>
              <v:stroke on="f" weight="0.5pt"/>
              <v:imagedata o:title=""/>
              <o:lock v:ext="edit" aspectratio="f"/>
              <v:textbox inset="0mm,0mm,0mm,0mm" style="mso-fit-shape-to-text:t;">
                <w:txbxContent>
                  <w:p>
                    <w:pPr>
                      <w:pStyle w:val="11"/>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33</w:t>
                    </w:r>
                    <w:r>
                      <w:rPr>
                        <w:rFonts w:hint="eastAsia" w:ascii="宋体" w:hAnsi="宋体" w:eastAsia="宋体" w:cs="宋体"/>
                      </w:rP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96" w:lineRule="auto"/>
      <w:ind w:left="3979"/>
      <w:rPr>
        <w:rFonts w:ascii="Times New Roman" w:hAnsi="Times New Roman" w:eastAsia="Times New Roman" w:cs="Times New Roman"/>
        <w:sz w:val="17"/>
        <w:szCs w:val="17"/>
      </w:rPr>
    </w:pPr>
    <w:r>
      <w:rPr>
        <w:sz w:val="17"/>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35</w:t>
                          </w:r>
                          <w:r>
                            <w:rPr>
                              <w:rFonts w:hint="eastAsia" w:ascii="宋体" w:hAnsi="宋体" w:eastAsia="宋体" w:cs="宋体"/>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P56+UsAgAAVw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g/nr5SwCAABXBAAADgAAAAAAAAABACAAAAAfAQAAZHJzL2Uyb0RvYy54bWxQSwUGAAAAAAYA&#10;BgBZAQAAvQUAAAAA&#10;">
              <v:fill on="f" focussize="0,0"/>
              <v:stroke on="f" weight="0.5pt"/>
              <v:imagedata o:title=""/>
              <o:lock v:ext="edit" aspectratio="f"/>
              <v:textbox inset="0mm,0mm,0mm,0mm" style="mso-fit-shape-to-text:t;">
                <w:txbxContent>
                  <w:p>
                    <w:pPr>
                      <w:pStyle w:val="11"/>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35</w:t>
                    </w:r>
                    <w:r>
                      <w:rPr>
                        <w:rFonts w:hint="eastAsia" w:ascii="宋体" w:hAnsi="宋体" w:eastAsia="宋体" w:cs="宋体"/>
                      </w:rP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96" w:lineRule="auto"/>
      <w:ind w:left="4123"/>
      <w:rPr>
        <w:rFonts w:ascii="Times New Roman" w:hAnsi="Times New Roman" w:eastAsia="Times New Roman" w:cs="Times New Roman"/>
        <w:sz w:val="17"/>
        <w:szCs w:val="17"/>
      </w:rPr>
    </w:pPr>
    <w:r>
      <w:rPr>
        <w:sz w:val="17"/>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36</w:t>
                          </w:r>
                          <w:r>
                            <w:rPr>
                              <w:rFonts w:hint="eastAsia" w:ascii="宋体" w:hAnsi="宋体" w:eastAsia="宋体" w:cs="宋体"/>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JScb8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yUnG/KwIAAFcEAAAOAAAAAAAAAAEAIAAAAB8BAABkcnMvZTJvRG9jLnhtbFBLBQYAAAAABgAG&#10;AFkBAAC8BQAAAAA=&#10;">
              <v:fill on="f" focussize="0,0"/>
              <v:stroke on="f" weight="0.5pt"/>
              <v:imagedata o:title=""/>
              <o:lock v:ext="edit" aspectratio="f"/>
              <v:textbox inset="0mm,0mm,0mm,0mm" style="mso-fit-shape-to-text:t;">
                <w:txbxContent>
                  <w:p>
                    <w:pPr>
                      <w:pStyle w:val="11"/>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36</w:t>
                    </w:r>
                    <w:r>
                      <w:rPr>
                        <w:rFonts w:hint="eastAsia" w:ascii="宋体" w:hAnsi="宋体" w:eastAsia="宋体" w:cs="宋体"/>
                      </w:rP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96" w:lineRule="auto"/>
      <w:ind w:left="3979"/>
      <w:rPr>
        <w:rFonts w:ascii="Times New Roman" w:hAnsi="Times New Roman" w:eastAsia="Times New Roman" w:cs="Times New Roman"/>
        <w:sz w:val="17"/>
        <w:szCs w:val="17"/>
      </w:rPr>
    </w:pPr>
    <w:r>
      <w:rPr>
        <w:sz w:val="17"/>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37</w:t>
                          </w:r>
                          <w:r>
                            <w:rPr>
                              <w:rFonts w:hint="eastAsia" w:ascii="宋体" w:hAnsi="宋体" w:eastAsia="宋体" w:cs="宋体"/>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ofIv8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CaHyL/KwIAAFcEAAAOAAAAAAAAAAEAIAAAAB8BAABkcnMvZTJvRG9jLnhtbFBLBQYAAAAABgAG&#10;AFkBAAC8BQAAAAA=&#10;">
              <v:fill on="f" focussize="0,0"/>
              <v:stroke on="f" weight="0.5pt"/>
              <v:imagedata o:title=""/>
              <o:lock v:ext="edit" aspectratio="f"/>
              <v:textbox inset="0mm,0mm,0mm,0mm" style="mso-fit-shape-to-text:t;">
                <w:txbxContent>
                  <w:p>
                    <w:pPr>
                      <w:pStyle w:val="11"/>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37</w:t>
                    </w:r>
                    <w:r>
                      <w:rPr>
                        <w:rFonts w:hint="eastAsia" w:ascii="宋体" w:hAnsi="宋体" w:eastAsia="宋体" w:cs="宋体"/>
                      </w:rP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96" w:lineRule="auto"/>
      <w:ind w:left="3979"/>
      <w:rPr>
        <w:rFonts w:ascii="Times New Roman" w:hAnsi="Times New Roman" w:eastAsia="Times New Roman" w:cs="Times New Roman"/>
        <w:sz w:val="17"/>
        <w:szCs w:val="17"/>
      </w:rPr>
    </w:pPr>
    <w:r>
      <w:rPr>
        <w:sz w:val="17"/>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38</w:t>
                          </w:r>
                          <w:r>
                            <w:rPr>
                              <w:rFonts w:hint="eastAsia" w:ascii="宋体" w:hAnsi="宋体" w:eastAsia="宋体" w:cs="宋体"/>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LJ1z8s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YsnXPywCAABXBAAADgAAAAAAAAABACAAAAAfAQAAZHJzL2Uyb0RvYy54bWxQSwUGAAAAAAYA&#10;BgBZAQAAvQUAAAAA&#10;">
              <v:fill on="f" focussize="0,0"/>
              <v:stroke on="f" weight="0.5pt"/>
              <v:imagedata o:title=""/>
              <o:lock v:ext="edit" aspectratio="f"/>
              <v:textbox inset="0mm,0mm,0mm,0mm" style="mso-fit-shape-to-text:t;">
                <w:txbxContent>
                  <w:p>
                    <w:pPr>
                      <w:pStyle w:val="11"/>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38</w:t>
                    </w:r>
                    <w:r>
                      <w:rPr>
                        <w:rFonts w:hint="eastAsia" w:ascii="宋体" w:hAnsi="宋体" w:eastAsia="宋体" w:cs="宋体"/>
                      </w:rP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96" w:lineRule="auto"/>
      <w:ind w:left="4173"/>
      <w:rPr>
        <w:rFonts w:ascii="Times New Roman" w:hAnsi="Times New Roman" w:eastAsia="Times New Roman" w:cs="Times New Roman"/>
        <w:sz w:val="17"/>
        <w:szCs w:val="17"/>
      </w:rPr>
    </w:pPr>
    <w:r>
      <w:rPr>
        <w:sz w:val="17"/>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40</w:t>
                          </w:r>
                          <w:r>
                            <w:rPr>
                              <w:rFonts w:hint="eastAsia" w:ascii="宋体" w:hAnsi="宋体" w:eastAsia="宋体" w:cs="宋体"/>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qEhH8t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MqEhH8tAgAAVwQAAA4AAAAAAAAAAQAgAAAAHwEAAGRycy9lMm9Eb2MueG1sUEsFBgAAAAAG&#10;AAYAWQEAAL4FAAAAAA==&#10;">
              <v:fill on="f" focussize="0,0"/>
              <v:stroke on="f" weight="0.5pt"/>
              <v:imagedata o:title=""/>
              <o:lock v:ext="edit" aspectratio="f"/>
              <v:textbox inset="0mm,0mm,0mm,0mm" style="mso-fit-shape-to-text:t;">
                <w:txbxContent>
                  <w:p>
                    <w:pPr>
                      <w:pStyle w:val="11"/>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40</w:t>
                    </w:r>
                    <w:r>
                      <w:rPr>
                        <w:rFonts w:hint="eastAsia" w:ascii="宋体" w:hAnsi="宋体" w:eastAsia="宋体" w:cs="宋体"/>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96" w:lineRule="auto"/>
      <w:ind w:left="3979"/>
      <w:rPr>
        <w:rFonts w:ascii="Times New Roman" w:hAnsi="Times New Roman" w:eastAsia="Times New Roman" w:cs="Times New Roman"/>
        <w:sz w:val="17"/>
        <w:szCs w:val="17"/>
      </w:rPr>
    </w:pPr>
    <w:r>
      <w:rPr>
        <w:sz w:val="17"/>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5</w:t>
                          </w:r>
                          <w:r>
                            <w:rPr>
                              <w:rFonts w:hint="eastAsia" w:ascii="宋体" w:hAnsi="宋体" w:eastAsia="宋体" w:cs="宋体"/>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pPr>
                      <w:pStyle w:val="11"/>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5</w:t>
                    </w:r>
                    <w:r>
                      <w:rPr>
                        <w:rFonts w:hint="eastAsia" w:ascii="宋体" w:hAnsi="宋体" w:eastAsia="宋体" w:cs="宋体"/>
                      </w:rPr>
                      <w:fldChar w:fldCharType="end"/>
                    </w:r>
                  </w:p>
                </w:txbxContent>
              </v:textbox>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96" w:lineRule="auto"/>
      <w:ind w:left="3979"/>
      <w:rPr>
        <w:rFonts w:ascii="Times New Roman" w:hAnsi="Times New Roman" w:eastAsia="Times New Roman" w:cs="Times New Roman"/>
        <w:sz w:val="17"/>
        <w:szCs w:val="17"/>
      </w:rPr>
    </w:pPr>
    <w:r>
      <w:rPr>
        <w:sz w:val="17"/>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41</w:t>
                          </w:r>
                          <w:r>
                            <w:rPr>
                              <w:rFonts w:hint="eastAsia" w:ascii="宋体" w:hAnsi="宋体" w:eastAsia="宋体" w:cs="宋体"/>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NiTWUt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NNiTWUtAgAAVwQAAA4AAAAAAAAAAQAgAAAAHwEAAGRycy9lMm9Eb2MueG1sUEsFBgAAAAAG&#10;AAYAWQEAAL4FAAAAAA==&#10;">
              <v:fill on="f" focussize="0,0"/>
              <v:stroke on="f" weight="0.5pt"/>
              <v:imagedata o:title=""/>
              <o:lock v:ext="edit" aspectratio="f"/>
              <v:textbox inset="0mm,0mm,0mm,0mm" style="mso-fit-shape-to-text:t;">
                <w:txbxContent>
                  <w:p>
                    <w:pPr>
                      <w:pStyle w:val="11"/>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41</w:t>
                    </w:r>
                    <w:r>
                      <w:rPr>
                        <w:rFonts w:hint="eastAsia" w:ascii="宋体" w:hAnsi="宋体" w:eastAsia="宋体" w:cs="宋体"/>
                      </w:rPr>
                      <w:fldChar w:fldCharType="end"/>
                    </w:r>
                  </w:p>
                </w:txbxContent>
              </v:textbox>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93" w:lineRule="auto"/>
      <w:ind w:left="3979"/>
      <w:rPr>
        <w:rFonts w:ascii="Times New Roman" w:hAnsi="Times New Roman" w:eastAsia="Times New Roman" w:cs="Times New Roman"/>
        <w:sz w:val="17"/>
        <w:szCs w:val="17"/>
      </w:rPr>
    </w:pPr>
    <w:r>
      <w:rPr>
        <w:sz w:val="17"/>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rPr>
                              <w:rFonts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46</w:t>
                          </w:r>
                          <w:r>
                            <w:rPr>
                              <w:rFonts w:hint="eastAsia" w:ascii="宋体" w:hAnsi="宋体" w:eastAsia="宋体" w:cs="宋体"/>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m63mM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Jut5jKwIAAFcEAAAOAAAAAAAAAAEAIAAAAB8BAABkcnMvZTJvRG9jLnhtbFBLBQYAAAAABgAG&#10;AFkBAAC8BQAAAAA=&#10;">
              <v:fill on="f" focussize="0,0"/>
              <v:stroke on="f" weight="0.5pt"/>
              <v:imagedata o:title=""/>
              <o:lock v:ext="edit" aspectratio="f"/>
              <v:textbox inset="0mm,0mm,0mm,0mm" style="mso-fit-shape-to-text:t;">
                <w:txbxContent>
                  <w:p>
                    <w:pPr>
                      <w:pStyle w:val="11"/>
                      <w:rPr>
                        <w:rFonts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46</w:t>
                    </w:r>
                    <w:r>
                      <w:rPr>
                        <w:rFonts w:hint="eastAsia" w:ascii="宋体" w:hAnsi="宋体" w:eastAsia="宋体" w:cs="宋体"/>
                      </w:rPr>
                      <w:fldChar w:fldCharType="end"/>
                    </w:r>
                  </w:p>
                </w:txbxContent>
              </v:textbox>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96" w:lineRule="auto"/>
      <w:jc w:val="center"/>
      <w:rPr>
        <w:rFonts w:ascii="Times New Roman" w:hAnsi="Times New Roman" w:eastAsia="Times New Roman" w:cs="Times New Roman"/>
        <w:sz w:val="17"/>
        <w:szCs w:val="17"/>
      </w:rPr>
    </w:pPr>
    <w:r>
      <w:rPr>
        <w:sz w:val="17"/>
      </w:rPr>
      <mc:AlternateContent>
        <mc:Choice Requires="wps">
          <w:drawing>
            <wp:anchor distT="0" distB="0" distL="114300" distR="114300" simplePos="0" relativeHeight="251680768" behindDoc="0" locked="0" layoutInCell="1" allowOverlap="1">
              <wp:simplePos x="0" y="0"/>
              <wp:positionH relativeFrom="margin">
                <wp:align>center</wp:align>
              </wp:positionH>
              <wp:positionV relativeFrom="paragraph">
                <wp:posOffset>0</wp:posOffset>
              </wp:positionV>
              <wp:extent cx="1828800" cy="1828800"/>
              <wp:effectExtent l="0" t="0" r="0" b="0"/>
              <wp:wrapNone/>
              <wp:docPr id="30" name="文本框 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52</w:t>
                          </w:r>
                          <w:r>
                            <w:rPr>
                              <w:rFonts w:hint="eastAsia" w:ascii="宋体" w:hAnsi="宋体" w:eastAsia="宋体" w:cs="宋体"/>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07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UqPGcs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pSo8ZywCAABXBAAADgAAAAAAAAABACAAAAAfAQAAZHJzL2Uyb0RvYy54bWxQSwUGAAAAAAYA&#10;BgBZAQAAvQUAAAAA&#10;">
              <v:fill on="f" focussize="0,0"/>
              <v:stroke on="f" weight="0.5pt"/>
              <v:imagedata o:title=""/>
              <o:lock v:ext="edit" aspectratio="f"/>
              <v:textbox inset="0mm,0mm,0mm,0mm" style="mso-fit-shape-to-text:t;">
                <w:txbxContent>
                  <w:p>
                    <w:pPr>
                      <w:pStyle w:val="11"/>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52</w:t>
                    </w:r>
                    <w:r>
                      <w:rPr>
                        <w:rFonts w:hint="eastAsia" w:ascii="宋体" w:hAnsi="宋体" w:eastAsia="宋体" w:cs="宋体"/>
                      </w:rPr>
                      <w:fldChar w:fldCharType="end"/>
                    </w:r>
                  </w:p>
                </w:txbxContent>
              </v:textbox>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96" w:lineRule="auto"/>
      <w:ind w:left="3933"/>
      <w:rPr>
        <w:rFonts w:ascii="Times New Roman" w:hAnsi="Times New Roman" w:eastAsia="Times New Roman" w:cs="Times New Roman"/>
        <w:sz w:val="17"/>
        <w:szCs w:val="17"/>
      </w:rPr>
    </w:pPr>
    <w:r>
      <w:rPr>
        <w:sz w:val="17"/>
      </w:rPr>
      <mc:AlternateContent>
        <mc:Choice Requires="wps">
          <w:drawing>
            <wp:anchor distT="0" distB="0" distL="114300" distR="114300" simplePos="0" relativeHeight="251681792" behindDoc="0" locked="0" layoutInCell="1" allowOverlap="1">
              <wp:simplePos x="0" y="0"/>
              <wp:positionH relativeFrom="margin">
                <wp:align>center</wp:align>
              </wp:positionH>
              <wp:positionV relativeFrom="paragraph">
                <wp:posOffset>0</wp:posOffset>
              </wp:positionV>
              <wp:extent cx="1828800" cy="1828800"/>
              <wp:effectExtent l="0" t="0" r="0" b="0"/>
              <wp:wrapNone/>
              <wp:docPr id="71" name="文本框 7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rPr>
                              <w:rFonts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98</w:t>
                          </w:r>
                          <w:r>
                            <w:rPr>
                              <w:rFonts w:hint="eastAsia" w:ascii="宋体" w:hAnsi="宋体" w:eastAsia="宋体" w:cs="宋体"/>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17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04m48CwCAABXBAAADgAAAAAAAAABACAAAAAfAQAAZHJzL2Uyb0RvYy54bWxQSwUGAAAAAAYA&#10;BgBZAQAAvQUAAAAA&#10;">
              <v:fill on="f" focussize="0,0"/>
              <v:stroke on="f" weight="0.5pt"/>
              <v:imagedata o:title=""/>
              <o:lock v:ext="edit" aspectratio="f"/>
              <v:textbox inset="0mm,0mm,0mm,0mm" style="mso-fit-shape-to-text:t;">
                <w:txbxContent>
                  <w:p>
                    <w:pPr>
                      <w:pStyle w:val="11"/>
                      <w:rPr>
                        <w:rFonts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98</w:t>
                    </w:r>
                    <w:r>
                      <w:rPr>
                        <w:rFonts w:hint="eastAsia" w:ascii="宋体" w:hAnsi="宋体" w:eastAsia="宋体" w:cs="宋体"/>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96" w:lineRule="auto"/>
      <w:ind w:left="3979"/>
      <w:rPr>
        <w:rFonts w:ascii="Times New Roman" w:hAnsi="Times New Roman" w:eastAsia="Times New Roman" w:cs="Times New Roman"/>
        <w:sz w:val="17"/>
        <w:szCs w:val="17"/>
      </w:rPr>
    </w:pPr>
    <w:r>
      <w:rPr>
        <w:sz w:val="17"/>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19</w:t>
                          </w:r>
                          <w:r>
                            <w:rPr>
                              <w:rFonts w:hint="eastAsia" w:ascii="宋体" w:hAnsi="宋体" w:eastAsia="宋体" w:cs="宋体"/>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pPr>
                      <w:pStyle w:val="11"/>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19</w:t>
                    </w:r>
                    <w:r>
                      <w:rPr>
                        <w:rFonts w:hint="eastAsia" w:ascii="宋体" w:hAnsi="宋体" w:eastAsia="宋体" w:cs="宋体"/>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96" w:lineRule="auto"/>
      <w:ind w:left="3979"/>
      <w:rPr>
        <w:rFonts w:ascii="Times New Roman" w:hAnsi="Times New Roman" w:eastAsia="Times New Roman" w:cs="Times New Roman"/>
        <w:sz w:val="17"/>
        <w:szCs w:val="17"/>
      </w:rPr>
    </w:pPr>
    <w:r>
      <w:rPr>
        <w:sz w:val="17"/>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rPr>
                              <w:rFonts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20</w:t>
                          </w:r>
                          <w:r>
                            <w:rPr>
                              <w:rFonts w:hint="eastAsia" w:ascii="宋体" w:hAnsi="宋体" w:eastAsia="宋体" w:cs="宋体"/>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pPr>
                      <w:pStyle w:val="11"/>
                      <w:rPr>
                        <w:rFonts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20</w:t>
                    </w:r>
                    <w:r>
                      <w:rPr>
                        <w:rFonts w:hint="eastAsia" w:ascii="宋体" w:hAnsi="宋体" w:eastAsia="宋体" w:cs="宋体"/>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96" w:lineRule="auto"/>
      <w:ind w:left="3979"/>
      <w:rPr>
        <w:rFonts w:ascii="Times New Roman" w:hAnsi="Times New Roman" w:eastAsia="Times New Roman" w:cs="Times New Roman"/>
        <w:sz w:val="17"/>
        <w:szCs w:val="17"/>
      </w:rPr>
    </w:pPr>
    <w:r>
      <w:rPr>
        <w:sz w:val="17"/>
      </w:rPr>
      <mc:AlternateContent>
        <mc:Choice Requires="wps">
          <w:drawing>
            <wp:anchor distT="0" distB="0" distL="114300" distR="114300" simplePos="0" relativeHeight="251664384" behindDoc="0" locked="0" layoutInCell="1" allowOverlap="1">
              <wp:simplePos x="0" y="0"/>
              <wp:positionH relativeFrom="margin">
                <wp:posOffset>2813050</wp:posOffset>
              </wp:positionH>
              <wp:positionV relativeFrom="paragraph">
                <wp:posOffset>0</wp:posOffset>
              </wp:positionV>
              <wp:extent cx="133350" cy="13208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33350" cy="13208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21</w:t>
                          </w:r>
                          <w:r>
                            <w:rPr>
                              <w:rFonts w:hint="eastAsia" w:ascii="宋体" w:hAnsi="宋体" w:eastAsia="宋体" w:cs="宋体"/>
                            </w:rP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221.5pt;margin-top:0pt;height:10.4pt;width:10.5pt;mso-position-horizontal-relative:margin;z-index:251664384;mso-width-relative:page;mso-height-relative:page;" filled="f" stroked="f" coordsize="21600,21600" o:gfxdata="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c0WiDtcAAAAHAQAADwAAAAAAAAABACAAAAAiAAAAZHJzL2Rvd25yZXYueG1sUEsB&#10;AhQAFAAAAAgAh07iQIENCbcvAgAAVQQAAA4AAAAAAAAAAQAgAAAAJgEAAGRycy9lMm9Eb2MueG1s&#10;UEsFBgAAAAAGAAYAWQEAAMcFAAAAAA==&#10;">
              <v:fill on="f" focussize="0,0"/>
              <v:stroke on="f" weight="0.5pt"/>
              <v:imagedata o:title=""/>
              <o:lock v:ext="edit" aspectratio="f"/>
              <v:textbox inset="0mm,0mm,0mm,0mm">
                <w:txbxContent>
                  <w:p>
                    <w:pPr>
                      <w:pStyle w:val="11"/>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21</w:t>
                    </w:r>
                    <w:r>
                      <w:rPr>
                        <w:rFonts w:hint="eastAsia" w:ascii="宋体" w:hAnsi="宋体" w:eastAsia="宋体" w:cs="宋体"/>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3" w:line="360" w:lineRule="exact"/>
      <w:ind w:right="13"/>
      <w:jc w:val="both"/>
      <w:outlineLvl w:val="1"/>
      <w:rPr>
        <w:rFonts w:ascii="宋体" w:hAnsi="宋体" w:eastAsia="宋体" w:cs="宋体"/>
        <w:b/>
        <w:bCs/>
        <w:spacing w:val="18"/>
        <w:sz w:val="32"/>
        <w:szCs w:val="32"/>
      </w:rPr>
    </w:pPr>
    <w:r>
      <w:rPr>
        <w:sz w:val="32"/>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22</w:t>
                          </w:r>
                          <w:r>
                            <w:rPr>
                              <w:rFonts w:hint="eastAsia" w:ascii="宋体" w:hAnsi="宋体" w:eastAsia="宋体" w:cs="宋体"/>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pPr>
                      <w:pStyle w:val="11"/>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22</w:t>
                    </w:r>
                    <w:r>
                      <w:rPr>
                        <w:rFonts w:hint="eastAsia" w:ascii="宋体" w:hAnsi="宋体" w:eastAsia="宋体" w:cs="宋体"/>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23</w:t>
                          </w:r>
                          <w:r>
                            <w:rPr>
                              <w:rFonts w:hint="eastAsia" w:ascii="宋体" w:hAnsi="宋体" w:eastAsia="宋体" w:cs="宋体"/>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q/o+UsAgAAV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yr+j5SwCAABVBAAADgAAAAAAAAABACAAAAAfAQAAZHJzL2Uyb0RvYy54bWxQSwUGAAAAAAYA&#10;BgBZAQAAvQUAAAAA&#10;">
              <v:fill on="f" focussize="0,0"/>
              <v:stroke on="f" weight="0.5pt"/>
              <v:imagedata o:title=""/>
              <o:lock v:ext="edit" aspectratio="f"/>
              <v:textbox inset="0mm,0mm,0mm,0mm" style="mso-fit-shape-to-text:t;">
                <w:txbxContent>
                  <w:p>
                    <w:pPr>
                      <w:pStyle w:val="11"/>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23</w:t>
                    </w:r>
                    <w:r>
                      <w:rPr>
                        <w:rFonts w:hint="eastAsia" w:ascii="宋体" w:hAnsi="宋体" w:eastAsia="宋体" w:cs="宋体"/>
                      </w:rP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96" w:lineRule="auto"/>
      <w:ind w:left="3979"/>
      <w:rPr>
        <w:rFonts w:ascii="Times New Roman" w:hAnsi="Times New Roman" w:eastAsia="Times New Roman" w:cs="Times New Roman"/>
        <w:sz w:val="17"/>
        <w:szCs w:val="17"/>
      </w:rPr>
    </w:pPr>
    <w:r>
      <w:rPr>
        <w:sz w:val="17"/>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29</w:t>
                          </w:r>
                          <w:r>
                            <w:rPr>
                              <w:rFonts w:hint="eastAsia" w:ascii="宋体" w:hAnsi="宋体" w:eastAsia="宋体" w:cs="宋体"/>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vt69Ys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IbSjRTqPjpx/fT&#10;z4fTr28EZxCotX6GuHuLyNC9Mx2Ch3OPw8i7q5yKXzAi8EPe40Ve0QXC46XpZDrN4eLwDRvgZ4/X&#10;rfPhvTCKRKOgDvVLsrLDxoc+dAiJ2bRZN1KmGkpN2oJevX6b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K+3r1iwCAABXBAAADgAAAAAAAAABACAAAAAfAQAAZHJzL2Uyb0RvYy54bWxQSwUGAAAAAAYA&#10;BgBZAQAAvQUAAAAA&#10;">
              <v:fill on="f" focussize="0,0"/>
              <v:stroke on="f" weight="0.5pt"/>
              <v:imagedata o:title=""/>
              <o:lock v:ext="edit" aspectratio="f"/>
              <v:textbox inset="0mm,0mm,0mm,0mm" style="mso-fit-shape-to-text:t;">
                <w:txbxContent>
                  <w:p>
                    <w:pPr>
                      <w:pStyle w:val="11"/>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29</w:t>
                    </w:r>
                    <w:r>
                      <w:rPr>
                        <w:rFonts w:hint="eastAsia" w:ascii="宋体" w:hAnsi="宋体" w:eastAsia="宋体" w:cs="宋体"/>
                      </w:rP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96" w:lineRule="auto"/>
      <w:ind w:left="3979"/>
      <w:rPr>
        <w:rFonts w:ascii="Times New Roman" w:hAnsi="Times New Roman" w:eastAsia="Times New Roman" w:cs="Times New Roman"/>
        <w:sz w:val="17"/>
        <w:szCs w:val="17"/>
      </w:rPr>
    </w:pPr>
    <w:r>
      <w:rPr>
        <w:sz w:val="17"/>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30</w:t>
                          </w:r>
                          <w:r>
                            <w:rPr>
                              <w:rFonts w:hint="eastAsia" w:ascii="宋体" w:hAnsi="宋体" w:eastAsia="宋体" w:cs="宋体"/>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OguJYsAgAAV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g6C4liwCAABXBAAADgAAAAAAAAABACAAAAAfAQAAZHJzL2Uyb0RvYy54bWxQSwUGAAAAAAYA&#10;BgBZAQAAvQUAAAAA&#10;">
              <v:fill on="f" focussize="0,0"/>
              <v:stroke on="f" weight="0.5pt"/>
              <v:imagedata o:title=""/>
              <o:lock v:ext="edit" aspectratio="f"/>
              <v:textbox inset="0mm,0mm,0mm,0mm" style="mso-fit-shape-to-text:t;">
                <w:txbxContent>
                  <w:p>
                    <w:pPr>
                      <w:pStyle w:val="11"/>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30</w:t>
                    </w:r>
                    <w:r>
                      <w:rPr>
                        <w:rFonts w:hint="eastAsia" w:ascii="宋体" w:hAnsi="宋体" w:eastAsia="宋体" w:cs="宋体"/>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426" w:lineRule="auto"/>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426" w:lineRule="auto"/>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
      </w:rP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667FA83"/>
    <w:multiLevelType w:val="singleLevel"/>
    <w:tmpl w:val="C667FA83"/>
    <w:lvl w:ilvl="0" w:tentative="0">
      <w:start w:val="1"/>
      <w:numFmt w:val="chineseCounting"/>
      <w:suff w:val="nothing"/>
      <w:lvlText w:val="%1、"/>
      <w:lvlJc w:val="left"/>
      <w:pPr>
        <w:ind w:left="-210" w:firstLine="420"/>
      </w:pPr>
      <w:rPr>
        <w:rFonts w:hint="eastAsia"/>
      </w:rPr>
    </w:lvl>
  </w:abstractNum>
  <w:abstractNum w:abstractNumId="1">
    <w:nsid w:val="E1C6327C"/>
    <w:multiLevelType w:val="multilevel"/>
    <w:tmpl w:val="E1C6327C"/>
    <w:lvl w:ilvl="0" w:tentative="0">
      <w:start w:val="1"/>
      <w:numFmt w:val="chineseCounting"/>
      <w:suff w:val="nothing"/>
      <w:lvlText w:val="%1、"/>
      <w:lvlJc w:val="left"/>
      <w:pPr>
        <w:tabs>
          <w:tab w:val="left" w:pos="0"/>
        </w:tabs>
        <w:ind w:left="0" w:firstLine="0"/>
      </w:pPr>
      <w:rPr>
        <w:rFonts w:hint="eastAsia" w:ascii="宋体" w:hAnsi="宋体" w:eastAsia="宋体" w:cs="宋体"/>
      </w:rPr>
    </w:lvl>
    <w:lvl w:ilvl="1" w:tentative="0">
      <w:start w:val="1"/>
      <w:numFmt w:val="chineseCounting"/>
      <w:pStyle w:val="43"/>
      <w:suff w:val="nothing"/>
      <w:lvlText w:val="(%2)"/>
      <w:lvlJc w:val="left"/>
      <w:pPr>
        <w:ind w:left="0" w:firstLine="0"/>
      </w:pPr>
      <w:rPr>
        <w:rFonts w:hint="eastAsia" w:ascii="宋体" w:hAnsi="宋体" w:eastAsia="宋体" w:cs="宋体"/>
      </w:rPr>
    </w:lvl>
    <w:lvl w:ilvl="2" w:tentative="0">
      <w:start w:val="1"/>
      <w:numFmt w:val="decimal"/>
      <w:suff w:val="nothing"/>
      <w:lvlText w:val="%3."/>
      <w:lvlJc w:val="left"/>
      <w:pPr>
        <w:ind w:left="0" w:firstLine="0"/>
      </w:pPr>
      <w:rPr>
        <w:rFonts w:hint="eastAsia" w:ascii="宋体" w:hAnsi="宋体" w:eastAsia="宋体" w:cs="宋体"/>
      </w:rPr>
    </w:lvl>
    <w:lvl w:ilvl="3" w:tentative="0">
      <w:start w:val="1"/>
      <w:numFmt w:val="decimal"/>
      <w:suff w:val="nothing"/>
      <w:lvlText w:val="%3.%4"/>
      <w:lvlJc w:val="left"/>
      <w:pPr>
        <w:ind w:left="0" w:firstLine="0"/>
      </w:pPr>
      <w:rPr>
        <w:rFonts w:hint="eastAsia" w:ascii="宋体" w:hAnsi="宋体" w:eastAsia="宋体" w:cs="宋体"/>
      </w:rPr>
    </w:lvl>
    <w:lvl w:ilvl="4" w:tentative="0">
      <w:start w:val="1"/>
      <w:numFmt w:val="decimal"/>
      <w:suff w:val="nothing"/>
      <w:lvlText w:val="(%5)"/>
      <w:lvlJc w:val="left"/>
      <w:pPr>
        <w:ind w:left="0" w:firstLine="0"/>
      </w:pPr>
      <w:rPr>
        <w:rFonts w:hint="eastAsia" w:ascii="宋体" w:hAnsi="宋体" w:eastAsia="宋体" w:cs="宋体"/>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2">
    <w:nsid w:val="E84AAD0C"/>
    <w:multiLevelType w:val="singleLevel"/>
    <w:tmpl w:val="E84AAD0C"/>
    <w:lvl w:ilvl="0" w:tentative="0">
      <w:start w:val="1"/>
      <w:numFmt w:val="decimal"/>
      <w:suff w:val="space"/>
      <w:lvlText w:val="%1."/>
      <w:lvlJc w:val="left"/>
    </w:lvl>
  </w:abstractNum>
  <w:abstractNum w:abstractNumId="3">
    <w:nsid w:val="3638A934"/>
    <w:multiLevelType w:val="singleLevel"/>
    <w:tmpl w:val="3638A934"/>
    <w:lvl w:ilvl="0" w:tentative="0">
      <w:start w:val="1"/>
      <w:numFmt w:val="decimal"/>
      <w:suff w:val="space"/>
      <w:lvlText w:val="(%1)"/>
      <w:lvlJc w:val="left"/>
    </w:lvl>
  </w:abstractNum>
  <w:abstractNum w:abstractNumId="4">
    <w:nsid w:val="7D271BFC"/>
    <w:multiLevelType w:val="multilevel"/>
    <w:tmpl w:val="7D271BFC"/>
    <w:lvl w:ilvl="0" w:tentative="0">
      <w:start w:val="1"/>
      <w:numFmt w:val="decimal"/>
      <w:pStyle w:val="3"/>
      <w:lvlText w:val="%1"/>
      <w:lvlJc w:val="left"/>
      <w:pPr>
        <w:ind w:left="0" w:firstLine="0"/>
      </w:pPr>
      <w:rPr>
        <w:rFonts w:hint="eastAsia" w:eastAsia="宋体" w:asciiTheme="majorEastAsia" w:hAnsiTheme="majorEastAsia"/>
      </w:rPr>
    </w:lvl>
    <w:lvl w:ilvl="1" w:tentative="0">
      <w:start w:val="1"/>
      <w:numFmt w:val="decimal"/>
      <w:lvlText w:val="%1.%2"/>
      <w:lvlJc w:val="left"/>
      <w:pPr>
        <w:ind w:left="-200" w:firstLine="0"/>
      </w:pPr>
      <w:rPr>
        <w:rFonts w:hint="eastAsia" w:ascii="宋体" w:hAnsi="宋体" w:eastAsia="宋体"/>
      </w:rPr>
    </w:lvl>
    <w:lvl w:ilvl="2" w:tentative="0">
      <w:start w:val="1"/>
      <w:numFmt w:val="decimal"/>
      <w:lvlText w:val="%1.%2.%3"/>
      <w:lvlJc w:val="left"/>
      <w:pPr>
        <w:ind w:left="0" w:firstLine="0"/>
      </w:pPr>
      <w:rPr>
        <w:rFonts w:hint="eastAsia" w:ascii="宋体" w:hAnsi="宋体" w:eastAsia="宋体"/>
      </w:rPr>
    </w:lvl>
    <w:lvl w:ilvl="3" w:tentative="0">
      <w:start w:val="1"/>
      <w:numFmt w:val="decimal"/>
      <w:lvlText w:val="%1.%2.%3.%4"/>
      <w:lvlJc w:val="left"/>
      <w:pPr>
        <w:ind w:left="0" w:firstLine="0"/>
      </w:pPr>
      <w:rPr>
        <w:rFonts w:hint="eastAsia" w:ascii="宋体" w:hAnsi="宋体" w:eastAsia="宋体"/>
      </w:rPr>
    </w:lvl>
    <w:lvl w:ilvl="4" w:tentative="0">
      <w:start w:val="1"/>
      <w:numFmt w:val="decimal"/>
      <w:lvlText w:val="%1.%2.%3.%4.%5"/>
      <w:lvlJc w:val="left"/>
      <w:pPr>
        <w:ind w:left="0" w:firstLine="0"/>
      </w:pPr>
      <w:rPr>
        <w:rFonts w:hint="eastAsia" w:eastAsia="宋体" w:asciiTheme="minorEastAsia" w:hAnsiTheme="minorEastAsia"/>
      </w:rPr>
    </w:lvl>
    <w:lvl w:ilvl="5" w:tentative="0">
      <w:start w:val="1"/>
      <w:numFmt w:val="decimal"/>
      <w:lvlText w:val="%1.%2.%3.%4.%5.%6"/>
      <w:lvlJc w:val="left"/>
      <w:pPr>
        <w:ind w:left="0" w:firstLine="0"/>
      </w:pPr>
      <w:rPr>
        <w:rFonts w:hint="eastAsia" w:ascii="宋体" w:hAnsi="宋体" w:eastAsia="宋体"/>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5102" w:hanging="1700"/>
      </w:pPr>
      <w:rPr>
        <w:rFonts w:hint="eastAsia"/>
      </w:rPr>
    </w:lvl>
  </w:abstractNum>
  <w:num w:numId="1">
    <w:abstractNumId w:val="4"/>
  </w:num>
  <w:num w:numId="2">
    <w:abstractNumId w:val="1"/>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efaultTabStop w:val="420"/>
  <w:displayHorizontalDrawingGridEvery w:val="1"/>
  <w:displayVerticalDrawingGridEvery w:val="1"/>
  <w:noPunctuationKerning w:val="1"/>
  <w:characterSpacingControl w:val="doNotCompress"/>
  <w:hdrShapeDefaults>
    <o:shapelayout v:ext="edit">
      <o:idmap v:ext="edit" data="3"/>
    </o:shapelayout>
  </w:hdrShapeDefaults>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OGI4NjI5OTBmMDM1ODFlMDkzNDFlZTFiMWNhZWU5ZTMifQ=="/>
    <w:docVar w:name="KSO_WPS_MARK_KEY" w:val="222be758-bda7-44a6-b246-fdfb4510293e"/>
  </w:docVars>
  <w:rsids>
    <w:rsidRoot w:val="008719C1"/>
    <w:rsid w:val="00051814"/>
    <w:rsid w:val="000702A9"/>
    <w:rsid w:val="0007321C"/>
    <w:rsid w:val="00094D1B"/>
    <w:rsid w:val="000C3C4A"/>
    <w:rsid w:val="000E6E8C"/>
    <w:rsid w:val="0011241E"/>
    <w:rsid w:val="00150F44"/>
    <w:rsid w:val="001750BB"/>
    <w:rsid w:val="00242D84"/>
    <w:rsid w:val="00245B36"/>
    <w:rsid w:val="002567D6"/>
    <w:rsid w:val="00291492"/>
    <w:rsid w:val="002B467F"/>
    <w:rsid w:val="002C2650"/>
    <w:rsid w:val="00357C70"/>
    <w:rsid w:val="00375062"/>
    <w:rsid w:val="003F74DC"/>
    <w:rsid w:val="0046212F"/>
    <w:rsid w:val="004B7BAF"/>
    <w:rsid w:val="004E55D6"/>
    <w:rsid w:val="0050144E"/>
    <w:rsid w:val="00535710"/>
    <w:rsid w:val="005462E4"/>
    <w:rsid w:val="005B1EF9"/>
    <w:rsid w:val="00626690"/>
    <w:rsid w:val="006911F9"/>
    <w:rsid w:val="00695339"/>
    <w:rsid w:val="006C654F"/>
    <w:rsid w:val="006E2142"/>
    <w:rsid w:val="00727339"/>
    <w:rsid w:val="00741DEE"/>
    <w:rsid w:val="00754D26"/>
    <w:rsid w:val="007B34D4"/>
    <w:rsid w:val="007C5564"/>
    <w:rsid w:val="007D76F8"/>
    <w:rsid w:val="00834573"/>
    <w:rsid w:val="00844D1D"/>
    <w:rsid w:val="0087053C"/>
    <w:rsid w:val="008719C1"/>
    <w:rsid w:val="008A7277"/>
    <w:rsid w:val="008B0626"/>
    <w:rsid w:val="008D10AC"/>
    <w:rsid w:val="008D7556"/>
    <w:rsid w:val="0096105F"/>
    <w:rsid w:val="009B6095"/>
    <w:rsid w:val="00A15361"/>
    <w:rsid w:val="00A320BB"/>
    <w:rsid w:val="00AF71EC"/>
    <w:rsid w:val="00B750B4"/>
    <w:rsid w:val="00BB6CBE"/>
    <w:rsid w:val="00BC137B"/>
    <w:rsid w:val="00C72ADA"/>
    <w:rsid w:val="00C87311"/>
    <w:rsid w:val="00CB65C8"/>
    <w:rsid w:val="00D213AB"/>
    <w:rsid w:val="00DB2C11"/>
    <w:rsid w:val="00DB4762"/>
    <w:rsid w:val="00E43269"/>
    <w:rsid w:val="00E44010"/>
    <w:rsid w:val="00E74D86"/>
    <w:rsid w:val="014C6B4A"/>
    <w:rsid w:val="01FA47FF"/>
    <w:rsid w:val="023575E5"/>
    <w:rsid w:val="02384D4F"/>
    <w:rsid w:val="02A8425B"/>
    <w:rsid w:val="04E07DC6"/>
    <w:rsid w:val="0503653F"/>
    <w:rsid w:val="05EE6432"/>
    <w:rsid w:val="07524795"/>
    <w:rsid w:val="089D5EE4"/>
    <w:rsid w:val="093D7C65"/>
    <w:rsid w:val="0A0D7C0C"/>
    <w:rsid w:val="0A252635"/>
    <w:rsid w:val="0A451CC8"/>
    <w:rsid w:val="0A4A6956"/>
    <w:rsid w:val="0CBF0142"/>
    <w:rsid w:val="0CE20369"/>
    <w:rsid w:val="0D156991"/>
    <w:rsid w:val="0DEF271B"/>
    <w:rsid w:val="0DF62107"/>
    <w:rsid w:val="0E010CC3"/>
    <w:rsid w:val="0FA40D33"/>
    <w:rsid w:val="0FC46580"/>
    <w:rsid w:val="10E41578"/>
    <w:rsid w:val="114759AD"/>
    <w:rsid w:val="122D2087"/>
    <w:rsid w:val="12971BF6"/>
    <w:rsid w:val="12A32349"/>
    <w:rsid w:val="12C61DE6"/>
    <w:rsid w:val="14D7022E"/>
    <w:rsid w:val="15523CE6"/>
    <w:rsid w:val="1574174F"/>
    <w:rsid w:val="1708410F"/>
    <w:rsid w:val="19CA0387"/>
    <w:rsid w:val="1A22318D"/>
    <w:rsid w:val="1BA43EB2"/>
    <w:rsid w:val="1BCE1E6F"/>
    <w:rsid w:val="1C8C6544"/>
    <w:rsid w:val="1D3303F2"/>
    <w:rsid w:val="1D4E6BA1"/>
    <w:rsid w:val="1EEE7042"/>
    <w:rsid w:val="20501FE2"/>
    <w:rsid w:val="20713A86"/>
    <w:rsid w:val="20D56041"/>
    <w:rsid w:val="22634B37"/>
    <w:rsid w:val="230C7A96"/>
    <w:rsid w:val="23887A65"/>
    <w:rsid w:val="23EA41CD"/>
    <w:rsid w:val="24A95977"/>
    <w:rsid w:val="24DA04C5"/>
    <w:rsid w:val="251867F4"/>
    <w:rsid w:val="255C11BE"/>
    <w:rsid w:val="25A21EB7"/>
    <w:rsid w:val="25D90BC5"/>
    <w:rsid w:val="268B6BF5"/>
    <w:rsid w:val="27271343"/>
    <w:rsid w:val="28123DA1"/>
    <w:rsid w:val="2824061B"/>
    <w:rsid w:val="283A7430"/>
    <w:rsid w:val="293D0904"/>
    <w:rsid w:val="294F692F"/>
    <w:rsid w:val="2A5F5AD7"/>
    <w:rsid w:val="2A906F48"/>
    <w:rsid w:val="2C185918"/>
    <w:rsid w:val="2C8E3C12"/>
    <w:rsid w:val="2DC21E30"/>
    <w:rsid w:val="2E861936"/>
    <w:rsid w:val="2ECA68A6"/>
    <w:rsid w:val="2EEF03BC"/>
    <w:rsid w:val="2F7075FF"/>
    <w:rsid w:val="2F762ECD"/>
    <w:rsid w:val="300D5F53"/>
    <w:rsid w:val="30D3190E"/>
    <w:rsid w:val="312A7602"/>
    <w:rsid w:val="31E746EC"/>
    <w:rsid w:val="32146FC0"/>
    <w:rsid w:val="33644AC5"/>
    <w:rsid w:val="35566808"/>
    <w:rsid w:val="359B252E"/>
    <w:rsid w:val="36070CBD"/>
    <w:rsid w:val="360D204B"/>
    <w:rsid w:val="36B349A1"/>
    <w:rsid w:val="37904CE2"/>
    <w:rsid w:val="39BA7DF4"/>
    <w:rsid w:val="39C62C3D"/>
    <w:rsid w:val="3A974937"/>
    <w:rsid w:val="3AA552E8"/>
    <w:rsid w:val="3AC709D8"/>
    <w:rsid w:val="3AF03D3D"/>
    <w:rsid w:val="3BEB5355"/>
    <w:rsid w:val="3C17295E"/>
    <w:rsid w:val="3C426303"/>
    <w:rsid w:val="3CAD2B7D"/>
    <w:rsid w:val="3CF32BCF"/>
    <w:rsid w:val="3CF94223"/>
    <w:rsid w:val="3D435C48"/>
    <w:rsid w:val="3E06217E"/>
    <w:rsid w:val="3FA7505A"/>
    <w:rsid w:val="40BC3CD2"/>
    <w:rsid w:val="4105229D"/>
    <w:rsid w:val="416C40CA"/>
    <w:rsid w:val="41F00B11"/>
    <w:rsid w:val="41F62B9C"/>
    <w:rsid w:val="42641ED5"/>
    <w:rsid w:val="42652173"/>
    <w:rsid w:val="426D556C"/>
    <w:rsid w:val="43BF6572"/>
    <w:rsid w:val="445552E9"/>
    <w:rsid w:val="45E70F36"/>
    <w:rsid w:val="45E80733"/>
    <w:rsid w:val="4698770F"/>
    <w:rsid w:val="47046B53"/>
    <w:rsid w:val="47727F60"/>
    <w:rsid w:val="492C786D"/>
    <w:rsid w:val="49520049"/>
    <w:rsid w:val="49690EEF"/>
    <w:rsid w:val="498A77E3"/>
    <w:rsid w:val="4A101B76"/>
    <w:rsid w:val="4B0D4E47"/>
    <w:rsid w:val="4C2D4456"/>
    <w:rsid w:val="4C8F5111"/>
    <w:rsid w:val="4C9E060E"/>
    <w:rsid w:val="4CB6269D"/>
    <w:rsid w:val="4D0F2D07"/>
    <w:rsid w:val="4F3568FD"/>
    <w:rsid w:val="507D1E8B"/>
    <w:rsid w:val="50AF14D1"/>
    <w:rsid w:val="51703467"/>
    <w:rsid w:val="51D40A01"/>
    <w:rsid w:val="521A722A"/>
    <w:rsid w:val="52557CF2"/>
    <w:rsid w:val="52722424"/>
    <w:rsid w:val="52C66A8C"/>
    <w:rsid w:val="52DC0710"/>
    <w:rsid w:val="53642E53"/>
    <w:rsid w:val="543A0058"/>
    <w:rsid w:val="54566453"/>
    <w:rsid w:val="54F95D51"/>
    <w:rsid w:val="553B5659"/>
    <w:rsid w:val="5548377E"/>
    <w:rsid w:val="5579695E"/>
    <w:rsid w:val="56220DA3"/>
    <w:rsid w:val="56F50266"/>
    <w:rsid w:val="571526B6"/>
    <w:rsid w:val="57ED183D"/>
    <w:rsid w:val="57F55EB3"/>
    <w:rsid w:val="588D419D"/>
    <w:rsid w:val="592D022A"/>
    <w:rsid w:val="594C028D"/>
    <w:rsid w:val="59B16258"/>
    <w:rsid w:val="59B71EC6"/>
    <w:rsid w:val="5A0768A2"/>
    <w:rsid w:val="5A4C23DB"/>
    <w:rsid w:val="5AC228CE"/>
    <w:rsid w:val="5BD00334"/>
    <w:rsid w:val="5CF709BF"/>
    <w:rsid w:val="5DB03C82"/>
    <w:rsid w:val="5E20787C"/>
    <w:rsid w:val="5EBA2BA1"/>
    <w:rsid w:val="60120C7F"/>
    <w:rsid w:val="6042008A"/>
    <w:rsid w:val="61004E34"/>
    <w:rsid w:val="614C3178"/>
    <w:rsid w:val="63357754"/>
    <w:rsid w:val="639D7B4D"/>
    <w:rsid w:val="649E018F"/>
    <w:rsid w:val="64CD4F19"/>
    <w:rsid w:val="64D977A3"/>
    <w:rsid w:val="65AF4410"/>
    <w:rsid w:val="66903B07"/>
    <w:rsid w:val="669C2357"/>
    <w:rsid w:val="66D02EB2"/>
    <w:rsid w:val="66E4700F"/>
    <w:rsid w:val="672F7159"/>
    <w:rsid w:val="67DC3307"/>
    <w:rsid w:val="689A52B4"/>
    <w:rsid w:val="6A720EF8"/>
    <w:rsid w:val="6AEB3A02"/>
    <w:rsid w:val="6D543AE1"/>
    <w:rsid w:val="6FB71363"/>
    <w:rsid w:val="6FC300B2"/>
    <w:rsid w:val="6FD35191"/>
    <w:rsid w:val="70883DE4"/>
    <w:rsid w:val="71F92EA9"/>
    <w:rsid w:val="720D17BF"/>
    <w:rsid w:val="72F97729"/>
    <w:rsid w:val="74F778A6"/>
    <w:rsid w:val="75294EF6"/>
    <w:rsid w:val="755C79D6"/>
    <w:rsid w:val="75726FA5"/>
    <w:rsid w:val="75B73ED4"/>
    <w:rsid w:val="76277C79"/>
    <w:rsid w:val="772070F2"/>
    <w:rsid w:val="77AE0A69"/>
    <w:rsid w:val="77F9207D"/>
    <w:rsid w:val="78A376CA"/>
    <w:rsid w:val="79423801"/>
    <w:rsid w:val="7A044199"/>
    <w:rsid w:val="7B6C2EA0"/>
    <w:rsid w:val="7B7B072C"/>
    <w:rsid w:val="7B7C6C4B"/>
    <w:rsid w:val="7B8C2698"/>
    <w:rsid w:val="7CD3000F"/>
    <w:rsid w:val="7D0A3BC9"/>
    <w:rsid w:val="7DC469EB"/>
    <w:rsid w:val="7DED391C"/>
    <w:rsid w:val="7EED24D1"/>
    <w:rsid w:val="7F535449"/>
    <w:rsid w:val="AC7C9331"/>
    <w:rsid w:val="AFB534B6"/>
    <w:rsid w:val="B1DEB752"/>
    <w:rsid w:val="EFFE2178"/>
    <w:rsid w:val="F5BF9143"/>
    <w:rsid w:val="FF6CDB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9" w:semiHidden="0" w:name="heading 3"/>
    <w:lsdException w:qFormat="1" w:unhideWhenUsed="0" w:uiPriority="9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35"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qFormat="1" w:uiPriority="99" w:semiHidden="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styleId="3">
    <w:name w:val="heading 1"/>
    <w:basedOn w:val="1"/>
    <w:next w:val="1"/>
    <w:qFormat/>
    <w:uiPriority w:val="9"/>
    <w:pPr>
      <w:keepNext/>
      <w:keepLines/>
      <w:numPr>
        <w:ilvl w:val="0"/>
        <w:numId w:val="1"/>
      </w:numPr>
      <w:spacing w:before="340" w:after="330" w:line="578" w:lineRule="auto"/>
      <w:outlineLvl w:val="0"/>
    </w:pPr>
    <w:rPr>
      <w:b/>
      <w:bCs/>
      <w:kern w:val="44"/>
      <w:sz w:val="44"/>
      <w:szCs w:val="44"/>
    </w:rPr>
  </w:style>
  <w:style w:type="paragraph" w:styleId="4">
    <w:name w:val="heading 2"/>
    <w:basedOn w:val="1"/>
    <w:next w:val="1"/>
    <w:qFormat/>
    <w:uiPriority w:val="0"/>
    <w:pPr>
      <w:keepNext/>
      <w:keepLines/>
      <w:spacing w:before="260" w:after="260" w:line="413" w:lineRule="auto"/>
      <w:ind w:firstLine="200" w:firstLineChars="200"/>
      <w:outlineLvl w:val="1"/>
    </w:pPr>
    <w:rPr>
      <w:rFonts w:ascii="Arial" w:hAnsi="Arial" w:eastAsia="黑体"/>
      <w:b/>
      <w:szCs w:val="22"/>
    </w:rPr>
  </w:style>
  <w:style w:type="paragraph" w:styleId="5">
    <w:name w:val="heading 3"/>
    <w:basedOn w:val="1"/>
    <w:next w:val="1"/>
    <w:qFormat/>
    <w:uiPriority w:val="9"/>
    <w:pPr>
      <w:outlineLvl w:val="2"/>
    </w:pPr>
    <w:rPr>
      <w:sz w:val="30"/>
    </w:rPr>
  </w:style>
  <w:style w:type="paragraph" w:styleId="6">
    <w:name w:val="heading 4"/>
    <w:basedOn w:val="1"/>
    <w:next w:val="1"/>
    <w:qFormat/>
    <w:uiPriority w:val="99"/>
    <w:pPr>
      <w:keepNext/>
      <w:keepLines/>
      <w:spacing w:before="280" w:after="290" w:line="372" w:lineRule="auto"/>
      <w:outlineLvl w:val="3"/>
    </w:pPr>
    <w:rPr>
      <w:rFonts w:eastAsia="黑体" w:cs="Times New Roman"/>
      <w:b/>
      <w:bCs/>
      <w:sz w:val="28"/>
      <w:szCs w:val="28"/>
    </w:rPr>
  </w:style>
  <w:style w:type="paragraph" w:styleId="7">
    <w:name w:val="heading 9"/>
    <w:basedOn w:val="1"/>
    <w:next w:val="1"/>
    <w:semiHidden/>
    <w:unhideWhenUsed/>
    <w:qFormat/>
    <w:uiPriority w:val="0"/>
    <w:pPr>
      <w:keepNext/>
      <w:keepLines/>
      <w:spacing w:before="240" w:after="64" w:line="317" w:lineRule="auto"/>
      <w:outlineLvl w:val="8"/>
    </w:pPr>
    <w:rPr>
      <w:rFonts w:eastAsia="黑体"/>
    </w:rPr>
  </w:style>
  <w:style w:type="character" w:default="1" w:styleId="21">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unhideWhenUsed/>
    <w:qFormat/>
    <w:uiPriority w:val="0"/>
    <w:pPr>
      <w:spacing w:after="120"/>
    </w:pPr>
    <w:rPr>
      <w:rFonts w:ascii="Times New Roman" w:hAnsi="Times New Roman"/>
      <w:sz w:val="20"/>
      <w:szCs w:val="20"/>
    </w:rPr>
  </w:style>
  <w:style w:type="paragraph" w:styleId="8">
    <w:name w:val="Normal Indent"/>
    <w:basedOn w:val="1"/>
    <w:qFormat/>
    <w:uiPriority w:val="0"/>
    <w:pPr>
      <w:ind w:firstLine="420"/>
    </w:pPr>
    <w:rPr>
      <w:szCs w:val="20"/>
    </w:rPr>
  </w:style>
  <w:style w:type="paragraph" w:styleId="9">
    <w:name w:val="annotation text"/>
    <w:basedOn w:val="1"/>
    <w:link w:val="39"/>
    <w:qFormat/>
    <w:uiPriority w:val="0"/>
  </w:style>
  <w:style w:type="paragraph" w:styleId="10">
    <w:name w:val="toc 3"/>
    <w:basedOn w:val="1"/>
    <w:next w:val="1"/>
    <w:qFormat/>
    <w:uiPriority w:val="0"/>
    <w:pPr>
      <w:ind w:left="840" w:leftChars="400"/>
    </w:pPr>
  </w:style>
  <w:style w:type="paragraph" w:styleId="11">
    <w:name w:val="footer"/>
    <w:basedOn w:val="1"/>
    <w:qFormat/>
    <w:uiPriority w:val="0"/>
    <w:pPr>
      <w:tabs>
        <w:tab w:val="center" w:pos="4153"/>
        <w:tab w:val="right" w:pos="8306"/>
      </w:tabs>
    </w:pPr>
    <w:rPr>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jc w:val="both"/>
    </w:pPr>
    <w:rPr>
      <w:sz w:val="18"/>
    </w:rPr>
  </w:style>
  <w:style w:type="paragraph" w:styleId="13">
    <w:name w:val="toc 1"/>
    <w:basedOn w:val="1"/>
    <w:next w:val="1"/>
    <w:qFormat/>
    <w:uiPriority w:val="0"/>
  </w:style>
  <w:style w:type="paragraph" w:styleId="14">
    <w:name w:val="toc 2"/>
    <w:basedOn w:val="1"/>
    <w:next w:val="1"/>
    <w:qFormat/>
    <w:uiPriority w:val="0"/>
    <w:pPr>
      <w:ind w:left="420" w:leftChars="200"/>
    </w:pPr>
  </w:style>
  <w:style w:type="paragraph" w:styleId="15">
    <w:name w:val="Body Text 2"/>
    <w:basedOn w:val="1"/>
    <w:qFormat/>
    <w:uiPriority w:val="0"/>
    <w:pPr>
      <w:spacing w:after="120" w:line="480" w:lineRule="auto"/>
    </w:pPr>
  </w:style>
  <w:style w:type="paragraph" w:styleId="16">
    <w:name w:val="Title"/>
    <w:basedOn w:val="1"/>
    <w:next w:val="1"/>
    <w:qFormat/>
    <w:uiPriority w:val="10"/>
    <w:pPr>
      <w:spacing w:before="240" w:after="60"/>
      <w:jc w:val="center"/>
      <w:outlineLvl w:val="0"/>
    </w:pPr>
    <w:rPr>
      <w:rFonts w:asciiTheme="majorHAnsi" w:hAnsiTheme="majorHAnsi" w:cstheme="majorBidi"/>
      <w:b/>
      <w:bCs/>
      <w:sz w:val="32"/>
      <w:szCs w:val="32"/>
    </w:rPr>
  </w:style>
  <w:style w:type="paragraph" w:styleId="17">
    <w:name w:val="annotation subject"/>
    <w:basedOn w:val="9"/>
    <w:next w:val="9"/>
    <w:link w:val="40"/>
    <w:qFormat/>
    <w:uiPriority w:val="0"/>
    <w:rPr>
      <w:b/>
      <w:bCs/>
    </w:rPr>
  </w:style>
  <w:style w:type="table" w:styleId="19">
    <w:name w:val="Table Grid"/>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table" w:styleId="20">
    <w:name w:val="Table Professional"/>
    <w:unhideWhenUsed/>
    <w:qFormat/>
    <w:uiPriority w:val="99"/>
    <w:pPr>
      <w:widowControl w:val="0"/>
      <w:jc w:val="both"/>
    </w:pPr>
    <w:rPr>
      <w:rFonts w:ascii="等线" w:hAnsi="等线" w:eastAsia="等线"/>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
    <w:tcPr>
      <w:shd w:val="clear" w:color="auto" w:fill="auto"/>
    </w:tcPr>
    <w:tblStylePr w:type="firstRow">
      <w:rPr>
        <w:b/>
        <w:bCs/>
        <w:color w:val="auto"/>
      </w:rPr>
      <w:tblPr/>
      <w:tcPr>
        <w:tcBorders>
          <w:tl2br w:val="nil"/>
          <w:tr2bl w:val="nil"/>
        </w:tcBorders>
        <w:shd w:val="solid" w:color="000000" w:fill="FFFFFF"/>
      </w:tcPr>
    </w:tblStylePr>
  </w:style>
  <w:style w:type="character" w:styleId="22">
    <w:name w:val="annotation reference"/>
    <w:basedOn w:val="21"/>
    <w:qFormat/>
    <w:uiPriority w:val="0"/>
    <w:rPr>
      <w:sz w:val="21"/>
      <w:szCs w:val="21"/>
    </w:rPr>
  </w:style>
  <w:style w:type="table" w:customStyle="1" w:styleId="23">
    <w:name w:val="Table Normal"/>
    <w:semiHidden/>
    <w:unhideWhenUsed/>
    <w:qFormat/>
    <w:uiPriority w:val="0"/>
    <w:tblPr>
      <w:tblCellMar>
        <w:top w:w="0" w:type="dxa"/>
        <w:left w:w="0" w:type="dxa"/>
        <w:bottom w:w="0" w:type="dxa"/>
        <w:right w:w="0" w:type="dxa"/>
      </w:tblCellMar>
    </w:tblPr>
  </w:style>
  <w:style w:type="paragraph" w:customStyle="1" w:styleId="24">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styleId="25">
    <w:name w:val="List Paragraph"/>
    <w:basedOn w:val="1"/>
    <w:qFormat/>
    <w:uiPriority w:val="34"/>
    <w:pPr>
      <w:ind w:firstLine="420" w:firstLineChars="200"/>
    </w:pPr>
    <w:rPr>
      <w:rFonts w:ascii="Calibri" w:hAnsi="Calibri"/>
      <w:szCs w:val="22"/>
    </w:rPr>
  </w:style>
  <w:style w:type="paragraph" w:customStyle="1" w:styleId="26">
    <w:name w:val="WPSOffice手动目录 1"/>
    <w:qFormat/>
    <w:uiPriority w:val="0"/>
    <w:rPr>
      <w:rFonts w:ascii="Times New Roman" w:hAnsi="Times New Roman" w:eastAsia="宋体" w:cs="Times New Roman"/>
      <w:lang w:val="en-US" w:eastAsia="zh-CN" w:bidi="ar-SA"/>
    </w:rPr>
  </w:style>
  <w:style w:type="paragraph" w:customStyle="1" w:styleId="27">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28">
    <w:name w:val="WPSOffice手动目录 3"/>
    <w:qFormat/>
    <w:uiPriority w:val="0"/>
    <w:pPr>
      <w:ind w:left="400" w:leftChars="400"/>
    </w:pPr>
    <w:rPr>
      <w:rFonts w:ascii="Times New Roman" w:hAnsi="Times New Roman" w:eastAsia="宋体" w:cs="Times New Roman"/>
      <w:lang w:val="en-US" w:eastAsia="zh-CN" w:bidi="ar-SA"/>
    </w:rPr>
  </w:style>
  <w:style w:type="paragraph" w:customStyle="1" w:styleId="29">
    <w:name w:val="Default"/>
    <w:qFormat/>
    <w:uiPriority w:val="0"/>
    <w:pPr>
      <w:widowControl w:val="0"/>
      <w:autoSpaceDE w:val="0"/>
      <w:autoSpaceDN w:val="0"/>
      <w:adjustRightInd w:val="0"/>
    </w:pPr>
    <w:rPr>
      <w:rFonts w:ascii="楷体à.ā" w:hAnsi="Times New Roman" w:eastAsia="楷体à.ā" w:cs="Times New Roman"/>
      <w:color w:val="000000"/>
      <w:sz w:val="24"/>
      <w:lang w:val="en-US" w:eastAsia="zh-CN" w:bidi="ar-SA"/>
    </w:rPr>
  </w:style>
  <w:style w:type="table" w:customStyle="1" w:styleId="30">
    <w:name w:val="Table1"/>
    <w:qFormat/>
    <w:uiPriority w:val="0"/>
    <w:rPr>
      <w:rFonts w:cs="Arial"/>
    </w:rPr>
    <w:tblPr>
      <w:tblCellMar>
        <w:top w:w="0" w:type="dxa"/>
        <w:left w:w="0" w:type="dxa"/>
        <w:bottom w:w="0" w:type="dxa"/>
        <w:right w:w="0" w:type="dxa"/>
      </w:tblCellMar>
    </w:tblPr>
    <w:trPr>
      <w:cantSplit/>
    </w:trPr>
    <w:tcPr>
      <w:shd w:val="clear" w:color="auto" w:fill="auto"/>
    </w:tcPr>
    <w:tblStylePr w:type="firstRow">
      <w:rPr>
        <w:b w:val="0"/>
        <w:bCs w:val="0"/>
        <w:i w:val="0"/>
        <w:iCs w:val="0"/>
        <w:color w:val="auto"/>
        <w:sz w:val="20"/>
        <w:szCs w:val="20"/>
      </w:rPr>
      <w:tcPr>
        <w:tcBorders>
          <w:top w:val="single" w:color="auto" w:sz="6" w:space="0"/>
          <w:left w:val="single" w:color="auto" w:sz="6" w:space="0"/>
          <w:bottom w:val="single" w:color="auto" w:sz="6" w:space="0"/>
          <w:right w:val="single" w:color="auto" w:sz="6" w:space="0"/>
          <w:insideH w:val="single" w:sz="6" w:space="0"/>
          <w:insideV w:val="single" w:sz="6" w:space="0"/>
          <w:tl2br w:val="nil"/>
          <w:tr2bl w:val="nil"/>
        </w:tcBorders>
        <w:shd w:val="clear" w:color="auto" w:fill="D9D9D9"/>
      </w:tcPr>
    </w:tblStylePr>
  </w:style>
  <w:style w:type="table" w:customStyle="1" w:styleId="31">
    <w:name w:val="网格型2"/>
    <w:qFormat/>
    <w:uiPriority w:val="39"/>
    <w:rPr>
      <w:rFonts w:ascii="Dutch801 Rm BT" w:hAnsi="Dutch801 Rm BT" w:cs="Dutch801 Rm BT"/>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table" w:customStyle="1" w:styleId="32">
    <w:name w:val="网格型1"/>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customStyle="1" w:styleId="33">
    <w:name w:val="font51"/>
    <w:basedOn w:val="21"/>
    <w:qFormat/>
    <w:uiPriority w:val="0"/>
    <w:rPr>
      <w:rFonts w:hint="eastAsia" w:ascii="仿宋" w:hAnsi="仿宋" w:eastAsia="仿宋" w:cs="仿宋"/>
      <w:color w:val="000000"/>
      <w:sz w:val="20"/>
      <w:szCs w:val="20"/>
      <w:u w:val="none"/>
    </w:rPr>
  </w:style>
  <w:style w:type="character" w:customStyle="1" w:styleId="34">
    <w:name w:val="font01"/>
    <w:basedOn w:val="21"/>
    <w:qFormat/>
    <w:uiPriority w:val="0"/>
    <w:rPr>
      <w:rFonts w:hint="eastAsia" w:ascii="宋体" w:hAnsi="宋体" w:eastAsia="宋体" w:cs="宋体"/>
      <w:color w:val="000000"/>
      <w:sz w:val="20"/>
      <w:szCs w:val="20"/>
      <w:u w:val="none"/>
    </w:rPr>
  </w:style>
  <w:style w:type="character" w:customStyle="1" w:styleId="35">
    <w:name w:val="font71"/>
    <w:basedOn w:val="21"/>
    <w:qFormat/>
    <w:uiPriority w:val="0"/>
    <w:rPr>
      <w:rFonts w:ascii="Calibri" w:hAnsi="Calibri" w:cs="Calibri"/>
      <w:color w:val="000000"/>
      <w:sz w:val="20"/>
      <w:szCs w:val="20"/>
      <w:u w:val="none"/>
    </w:rPr>
  </w:style>
  <w:style w:type="character" w:customStyle="1" w:styleId="36">
    <w:name w:val="font81"/>
    <w:basedOn w:val="21"/>
    <w:qFormat/>
    <w:uiPriority w:val="0"/>
    <w:rPr>
      <w:rFonts w:ascii="Arial" w:hAnsi="Arial" w:cs="Arial"/>
      <w:color w:val="000000"/>
      <w:sz w:val="20"/>
      <w:szCs w:val="20"/>
      <w:u w:val="none"/>
    </w:rPr>
  </w:style>
  <w:style w:type="paragraph" w:customStyle="1" w:styleId="37">
    <w:name w:val="样式 首行缩进:  2 字符"/>
    <w:basedOn w:val="1"/>
    <w:qFormat/>
    <w:uiPriority w:val="0"/>
    <w:pPr>
      <w:spacing w:line="400" w:lineRule="exact"/>
      <w:ind w:firstLine="200" w:firstLineChars="200"/>
    </w:pPr>
    <w:rPr>
      <w:rFonts w:cs="宋体"/>
      <w:sz w:val="24"/>
    </w:rPr>
  </w:style>
  <w:style w:type="paragraph" w:customStyle="1" w:styleId="38">
    <w:name w:val="修订1"/>
    <w:hidden/>
    <w:semiHidden/>
    <w:qFormat/>
    <w:uiPriority w:val="99"/>
    <w:rPr>
      <w:rFonts w:ascii="Arial" w:hAnsi="Arial" w:eastAsia="Arial" w:cs="Arial"/>
      <w:snapToGrid w:val="0"/>
      <w:color w:val="000000"/>
      <w:sz w:val="21"/>
      <w:szCs w:val="21"/>
      <w:lang w:val="en-US" w:eastAsia="zh-CN" w:bidi="ar-SA"/>
    </w:rPr>
  </w:style>
  <w:style w:type="character" w:customStyle="1" w:styleId="39">
    <w:name w:val="批注文字 字符"/>
    <w:basedOn w:val="21"/>
    <w:link w:val="9"/>
    <w:qFormat/>
    <w:uiPriority w:val="0"/>
    <w:rPr>
      <w:rFonts w:ascii="Arial" w:hAnsi="Arial" w:eastAsia="Arial" w:cs="Arial"/>
      <w:snapToGrid w:val="0"/>
      <w:color w:val="000000"/>
      <w:sz w:val="21"/>
      <w:szCs w:val="21"/>
    </w:rPr>
  </w:style>
  <w:style w:type="character" w:customStyle="1" w:styleId="40">
    <w:name w:val="批注主题 字符"/>
    <w:basedOn w:val="39"/>
    <w:link w:val="17"/>
    <w:qFormat/>
    <w:uiPriority w:val="0"/>
    <w:rPr>
      <w:rFonts w:ascii="Arial" w:hAnsi="Arial" w:eastAsia="Arial" w:cs="Arial"/>
      <w:b/>
      <w:bCs/>
      <w:snapToGrid w:val="0"/>
      <w:color w:val="000000"/>
      <w:sz w:val="21"/>
      <w:szCs w:val="21"/>
    </w:rPr>
  </w:style>
  <w:style w:type="character" w:customStyle="1" w:styleId="41">
    <w:name w:val="font41"/>
    <w:basedOn w:val="21"/>
    <w:qFormat/>
    <w:uiPriority w:val="0"/>
    <w:rPr>
      <w:rFonts w:hint="eastAsia" w:ascii="仿宋" w:hAnsi="仿宋" w:eastAsia="仿宋" w:cs="仿宋"/>
      <w:color w:val="000000"/>
      <w:sz w:val="20"/>
      <w:szCs w:val="20"/>
      <w:u w:val="none"/>
    </w:rPr>
  </w:style>
  <w:style w:type="paragraph" w:customStyle="1" w:styleId="42">
    <w:name w:val="Revision"/>
    <w:hidden/>
    <w:semiHidden/>
    <w:qFormat/>
    <w:uiPriority w:val="99"/>
    <w:rPr>
      <w:rFonts w:ascii="Arial" w:hAnsi="Arial" w:eastAsia="Arial" w:cs="Arial"/>
      <w:snapToGrid w:val="0"/>
      <w:color w:val="000000"/>
      <w:sz w:val="21"/>
      <w:szCs w:val="21"/>
      <w:lang w:val="en-US" w:eastAsia="zh-CN" w:bidi="ar-SA"/>
    </w:rPr>
  </w:style>
  <w:style w:type="paragraph" w:customStyle="1" w:styleId="43">
    <w:name w:val="05、“(一)”正文三级标题"/>
    <w:basedOn w:val="1"/>
    <w:qFormat/>
    <w:uiPriority w:val="0"/>
    <w:pPr>
      <w:numPr>
        <w:ilvl w:val="1"/>
        <w:numId w:val="2"/>
      </w:numPr>
      <w:tabs>
        <w:tab w:val="left" w:pos="0"/>
      </w:tabs>
      <w:wordWrap w:val="0"/>
      <w:topLinePunct/>
      <w:ind w:firstLine="803" w:firstLineChars="200"/>
    </w:pPr>
  </w:style>
  <w:style w:type="paragraph" w:customStyle="1" w:styleId="44">
    <w:name w:val="01、普通正文"/>
    <w:basedOn w:val="1"/>
    <w:qFormat/>
    <w:uiPriority w:val="0"/>
    <w:pPr>
      <w:tabs>
        <w:tab w:val="left" w:pos="0"/>
      </w:tabs>
      <w:wordWrap w:val="0"/>
      <w:topLinePunct/>
      <w:ind w:firstLine="0" w:firstLineChars="0"/>
    </w:pPr>
    <w:rPr>
      <w:rFonts w:ascii="宋体" w:hAnsi="宋体" w:eastAsia="宋体"/>
      <w:snapToGrid w:val="0"/>
    </w:rPr>
  </w:style>
  <w:style w:type="paragraph" w:customStyle="1" w:styleId="45">
    <w:name w:val="正文（绿盟科技）"/>
    <w:next w:val="1"/>
    <w:qFormat/>
    <w:uiPriority w:val="0"/>
    <w:pPr>
      <w:spacing w:line="300" w:lineRule="auto"/>
    </w:pPr>
    <w:rPr>
      <w:rFonts w:ascii="Arial" w:hAnsi="Arial" w:eastAsia="宋体" w:cs="黑体"/>
      <w:sz w:val="21"/>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0" Type="http://schemas.openxmlformats.org/officeDocument/2006/relationships/fontTable" Target="fontTable.xml"/><Relationship Id="rId5" Type="http://schemas.openxmlformats.org/officeDocument/2006/relationships/footer" Target="footer2.xml"/><Relationship Id="rId49" Type="http://schemas.openxmlformats.org/officeDocument/2006/relationships/numbering" Target="numbering.xml"/><Relationship Id="rId48" Type="http://schemas.openxmlformats.org/officeDocument/2006/relationships/customXml" Target="../customXml/item1.xml"/><Relationship Id="rId47" Type="http://schemas.openxmlformats.org/officeDocument/2006/relationships/theme" Target="theme/theme1.xml"/><Relationship Id="rId46" Type="http://schemas.openxmlformats.org/officeDocument/2006/relationships/footer" Target="footer23.xml"/><Relationship Id="rId45" Type="http://schemas.openxmlformats.org/officeDocument/2006/relationships/header" Target="header21.xml"/><Relationship Id="rId44" Type="http://schemas.openxmlformats.org/officeDocument/2006/relationships/footer" Target="footer22.xml"/><Relationship Id="rId43" Type="http://schemas.openxmlformats.org/officeDocument/2006/relationships/header" Target="header20.xml"/><Relationship Id="rId42" Type="http://schemas.openxmlformats.org/officeDocument/2006/relationships/footer" Target="footer21.xml"/><Relationship Id="rId41" Type="http://schemas.openxmlformats.org/officeDocument/2006/relationships/header" Target="header19.xml"/><Relationship Id="rId40" Type="http://schemas.openxmlformats.org/officeDocument/2006/relationships/footer" Target="footer20.xml"/><Relationship Id="rId4" Type="http://schemas.openxmlformats.org/officeDocument/2006/relationships/header" Target="header1.xml"/><Relationship Id="rId39" Type="http://schemas.openxmlformats.org/officeDocument/2006/relationships/header" Target="header18.xml"/><Relationship Id="rId38" Type="http://schemas.openxmlformats.org/officeDocument/2006/relationships/footer" Target="footer19.xml"/><Relationship Id="rId37" Type="http://schemas.openxmlformats.org/officeDocument/2006/relationships/header" Target="header17.xml"/><Relationship Id="rId36" Type="http://schemas.openxmlformats.org/officeDocument/2006/relationships/footer" Target="footer18.xml"/><Relationship Id="rId35" Type="http://schemas.openxmlformats.org/officeDocument/2006/relationships/header" Target="header16.xml"/><Relationship Id="rId34" Type="http://schemas.openxmlformats.org/officeDocument/2006/relationships/footer" Target="footer17.xml"/><Relationship Id="rId33" Type="http://schemas.openxmlformats.org/officeDocument/2006/relationships/header" Target="header15.xml"/><Relationship Id="rId32" Type="http://schemas.openxmlformats.org/officeDocument/2006/relationships/footer" Target="footer16.xml"/><Relationship Id="rId31" Type="http://schemas.openxmlformats.org/officeDocument/2006/relationships/header" Target="header14.xml"/><Relationship Id="rId30" Type="http://schemas.openxmlformats.org/officeDocument/2006/relationships/footer" Target="footer15.xml"/><Relationship Id="rId3" Type="http://schemas.openxmlformats.org/officeDocument/2006/relationships/footer" Target="footer1.xml"/><Relationship Id="rId29" Type="http://schemas.openxmlformats.org/officeDocument/2006/relationships/header" Target="header13.xml"/><Relationship Id="rId28" Type="http://schemas.openxmlformats.org/officeDocument/2006/relationships/footer" Target="footer14.xml"/><Relationship Id="rId27" Type="http://schemas.openxmlformats.org/officeDocument/2006/relationships/header" Target="header12.xml"/><Relationship Id="rId26" Type="http://schemas.openxmlformats.org/officeDocument/2006/relationships/footer" Target="footer13.xml"/><Relationship Id="rId25" Type="http://schemas.openxmlformats.org/officeDocument/2006/relationships/header" Target="header11.xml"/><Relationship Id="rId24" Type="http://schemas.openxmlformats.org/officeDocument/2006/relationships/footer" Target="footer12.xml"/><Relationship Id="rId23" Type="http://schemas.openxmlformats.org/officeDocument/2006/relationships/header" Target="header10.xml"/><Relationship Id="rId22" Type="http://schemas.openxmlformats.org/officeDocument/2006/relationships/footer" Target="footer11.xml"/><Relationship Id="rId21" Type="http://schemas.openxmlformats.org/officeDocument/2006/relationships/header" Target="header9.xml"/><Relationship Id="rId20" Type="http://schemas.openxmlformats.org/officeDocument/2006/relationships/footer" Target="footer10.xml"/><Relationship Id="rId2" Type="http://schemas.openxmlformats.org/officeDocument/2006/relationships/settings" Target="settings.xml"/><Relationship Id="rId19" Type="http://schemas.openxmlformats.org/officeDocument/2006/relationships/header" Target="header8.xml"/><Relationship Id="rId18" Type="http://schemas.openxmlformats.org/officeDocument/2006/relationships/footer" Target="footer9.xml"/><Relationship Id="rId17" Type="http://schemas.openxmlformats.org/officeDocument/2006/relationships/header" Target="header7.xml"/><Relationship Id="rId16" Type="http://schemas.openxmlformats.org/officeDocument/2006/relationships/footer" Target="footer8.xml"/><Relationship Id="rId15" Type="http://schemas.openxmlformats.org/officeDocument/2006/relationships/header" Target="header6.xml"/><Relationship Id="rId14" Type="http://schemas.openxmlformats.org/officeDocument/2006/relationships/footer" Target="footer7.xml"/><Relationship Id="rId13" Type="http://schemas.openxmlformats.org/officeDocument/2006/relationships/header" Target="header5.xml"/><Relationship Id="rId12" Type="http://schemas.openxmlformats.org/officeDocument/2006/relationships/footer" Target="footer6.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Info spid="_x0000_s205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56</Pages>
  <Words>35646</Words>
  <Characters>37640</Characters>
  <Lines>933</Lines>
  <Paragraphs>262</Paragraphs>
  <TotalTime>1</TotalTime>
  <ScaleCrop>false</ScaleCrop>
  <LinksUpToDate>false</LinksUpToDate>
  <CharactersWithSpaces>40020</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2022-07-07T18:11:00Z</dcterms:created>
  <dc:creator>s</dc:creator>
  <cp:lastModifiedBy>Y</cp:lastModifiedBy>
  <dcterms:modified xsi:type="dcterms:W3CDTF">2024-07-09T07:14:42Z</dcterms:modified>
  <cp:revision>56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wqlLaW5nc29mdCBQREYgdG8gV1BTIDgw</vt:lpwstr>
  </property>
  <property fmtid="{D5CDD505-2E9C-101B-9397-08002B2CF9AE}" pid="3" name="Created">
    <vt:filetime>2022-09-01T15:46:13Z</vt:filetime>
  </property>
  <property fmtid="{D5CDD505-2E9C-101B-9397-08002B2CF9AE}" pid="4" name="KSOProductBuildVer">
    <vt:lpwstr>2052-12.1.0.16929</vt:lpwstr>
  </property>
  <property fmtid="{D5CDD505-2E9C-101B-9397-08002B2CF9AE}" pid="5" name="ICV">
    <vt:lpwstr>34E8844BDB784AA780BFF3B338942958_13</vt:lpwstr>
  </property>
</Properties>
</file>